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085E" w:rsidRDefault="00000000">
      <w:pPr>
        <w:pStyle w:val="Texte"/>
        <w:jc w:val="center"/>
        <w:rPr>
          <w:rFonts w:ascii="Times New Roman" w:hAnsi="Times New Roman"/>
          <w:b/>
          <w:noProof w:val="0"/>
        </w:rPr>
      </w:pPr>
      <w:r>
        <w:rPr>
          <w:rFonts w:ascii="Times New Roman" w:hAnsi="Times New Roman"/>
          <w:b/>
          <w:noProof w:val="0"/>
        </w:rPr>
        <w:t>MINISTERE DE LA COMMUNAUTE FRANCAISE</w:t>
      </w:r>
    </w:p>
    <w:p w:rsidR="00AC085E" w:rsidRDefault="00AC085E">
      <w:pPr>
        <w:pStyle w:val="Texte"/>
        <w:jc w:val="center"/>
        <w:rPr>
          <w:rFonts w:ascii="Times New Roman" w:hAnsi="Times New Roman"/>
          <w:b/>
          <w:noProof w:val="0"/>
        </w:rPr>
      </w:pPr>
    </w:p>
    <w:p w:rsidR="00AC085E" w:rsidRDefault="00000000">
      <w:pPr>
        <w:pStyle w:val="Texte"/>
        <w:jc w:val="center"/>
        <w:rPr>
          <w:rFonts w:ascii="Times New Roman" w:hAnsi="Times New Roman"/>
          <w:b/>
          <w:noProof w:val="0"/>
          <w:sz w:val="20"/>
        </w:rPr>
      </w:pPr>
      <w:r>
        <w:rPr>
          <w:rFonts w:ascii="Times New Roman" w:hAnsi="Times New Roman"/>
          <w:b/>
          <w:noProof w:val="0"/>
          <w:sz w:val="20"/>
        </w:rPr>
        <w:t>ADMINISTRATION GENERALE DE L’ENSEIGNEMENT</w:t>
      </w:r>
    </w:p>
    <w:p w:rsidR="00AC085E" w:rsidRDefault="00AC085E">
      <w:pPr>
        <w:pStyle w:val="Texte"/>
        <w:jc w:val="center"/>
        <w:rPr>
          <w:rFonts w:ascii="Times New Roman" w:hAnsi="Times New Roman"/>
          <w:noProof w:val="0"/>
        </w:rPr>
      </w:pPr>
    </w:p>
    <w:p w:rsidR="00AC085E" w:rsidRDefault="00000000">
      <w:pPr>
        <w:pStyle w:val="Texte"/>
        <w:jc w:val="center"/>
        <w:rPr>
          <w:rFonts w:ascii="Times New Roman" w:hAnsi="Times New Roman"/>
          <w:b/>
          <w:noProof w:val="0"/>
        </w:rPr>
      </w:pPr>
      <w:r>
        <w:rPr>
          <w:rFonts w:ascii="Times New Roman" w:hAnsi="Times New Roman"/>
          <w:b/>
          <w:noProof w:val="0"/>
        </w:rPr>
        <w:t>ENSEIGNEMENT DE PROMOTION SOCIALE</w:t>
      </w:r>
    </w:p>
    <w:p w:rsidR="00AC085E" w:rsidRDefault="00AC085E">
      <w:pPr>
        <w:jc w:val="center"/>
      </w:pPr>
    </w:p>
    <w:p w:rsidR="00AC085E" w:rsidRDefault="00AC085E">
      <w:pPr>
        <w:jc w:val="center"/>
      </w:pPr>
    </w:p>
    <w:p w:rsidR="00AC085E" w:rsidRDefault="00AC085E">
      <w:pPr>
        <w:jc w:val="center"/>
      </w:pPr>
    </w:p>
    <w:p w:rsidR="00AC085E" w:rsidRDefault="00AC085E">
      <w:pPr>
        <w:jc w:val="center"/>
      </w:pPr>
    </w:p>
    <w:p w:rsidR="00AC085E" w:rsidRDefault="00AC085E">
      <w:pPr>
        <w:jc w:val="center"/>
      </w:pPr>
    </w:p>
    <w:p w:rsidR="00AC085E" w:rsidRDefault="00AC085E">
      <w:pPr>
        <w:jc w:val="center"/>
      </w:pPr>
    </w:p>
    <w:p w:rsidR="00AC085E" w:rsidRDefault="00AC085E">
      <w:pPr>
        <w:jc w:val="center"/>
      </w:pPr>
    </w:p>
    <w:p w:rsidR="00AC085E" w:rsidRDefault="00AC085E">
      <w:pPr>
        <w:jc w:val="center"/>
      </w:pPr>
    </w:p>
    <w:p w:rsidR="00AC085E" w:rsidRDefault="00AC085E">
      <w:pPr>
        <w:jc w:val="center"/>
      </w:pPr>
    </w:p>
    <w:p w:rsidR="00AC085E" w:rsidRDefault="00AC085E">
      <w:pPr>
        <w:jc w:val="center"/>
      </w:pPr>
    </w:p>
    <w:p w:rsidR="00AC085E" w:rsidRDefault="00AC085E">
      <w:pPr>
        <w:jc w:val="center"/>
      </w:pPr>
    </w:p>
    <w:p w:rsidR="00AC085E" w:rsidRDefault="00AC085E">
      <w:pPr>
        <w:jc w:val="center"/>
      </w:pPr>
    </w:p>
    <w:p w:rsidR="00AC085E" w:rsidRDefault="00AC085E">
      <w:pPr>
        <w:jc w:val="center"/>
      </w:pPr>
    </w:p>
    <w:p w:rsidR="00AC085E" w:rsidRDefault="00AC085E">
      <w:pPr>
        <w:jc w:val="center"/>
      </w:pPr>
    </w:p>
    <w:p w:rsidR="00AC085E" w:rsidRDefault="00AC085E">
      <w:pPr>
        <w:jc w:val="center"/>
      </w:pPr>
    </w:p>
    <w:p w:rsidR="00AC085E" w:rsidRDefault="00AC085E">
      <w:pPr>
        <w:jc w:val="center"/>
      </w:pPr>
    </w:p>
    <w:p w:rsidR="00AC085E" w:rsidRDefault="00000000">
      <w:pPr>
        <w:pStyle w:val="Texte"/>
        <w:ind w:left="2269" w:right="2602"/>
        <w:jc w:val="center"/>
        <w:rPr>
          <w:rFonts w:ascii="Times New Roman" w:hAnsi="Times New Roman"/>
          <w:b/>
          <w:noProof w:val="0"/>
          <w:sz w:val="28"/>
        </w:rPr>
      </w:pPr>
      <w:r>
        <w:rPr>
          <w:rFonts w:ascii="Times New Roman" w:hAnsi="Times New Roman"/>
          <w:b/>
          <w:noProof w:val="0"/>
          <w:sz w:val="28"/>
        </w:rPr>
        <w:t>DOSSIER PEDAGOGIQUE</w:t>
      </w:r>
    </w:p>
    <w:p w:rsidR="00AC085E" w:rsidRDefault="00AC085E">
      <w:pPr>
        <w:pStyle w:val="Texte"/>
        <w:ind w:left="2269" w:right="2602"/>
        <w:jc w:val="center"/>
        <w:rPr>
          <w:rFonts w:ascii="Times New Roman" w:hAnsi="Times New Roman"/>
          <w:b/>
        </w:rPr>
      </w:pPr>
    </w:p>
    <w:p w:rsidR="00AC085E" w:rsidRDefault="00AC085E">
      <w:pPr>
        <w:pStyle w:val="Texte"/>
        <w:ind w:left="2269" w:right="2602"/>
        <w:jc w:val="center"/>
        <w:rPr>
          <w:rFonts w:ascii="Times New Roman" w:hAnsi="Times New Roman"/>
          <w:b/>
        </w:rPr>
      </w:pPr>
    </w:p>
    <w:p w:rsidR="00AC085E" w:rsidRDefault="00000000">
      <w:pPr>
        <w:pStyle w:val="Texte"/>
        <w:ind w:left="2269" w:right="2602"/>
        <w:jc w:val="center"/>
        <w:rPr>
          <w:rFonts w:ascii="Times New Roman" w:hAnsi="Times New Roman"/>
          <w:b/>
        </w:rPr>
      </w:pPr>
      <w:bookmarkStart w:id="0" w:name="_Hlk529793239"/>
      <w:r>
        <w:rPr>
          <w:rFonts w:ascii="Times New Roman" w:hAnsi="Times New Roman"/>
          <w:b/>
        </w:rPr>
        <w:t>UNITE D’ENSEIGNEMENT</w:t>
      </w:r>
    </w:p>
    <w:p w:rsidR="00AC085E" w:rsidRDefault="00AC085E">
      <w:pPr>
        <w:pStyle w:val="Texte"/>
        <w:ind w:left="2269" w:right="2602"/>
        <w:jc w:val="center"/>
        <w:rPr>
          <w:rFonts w:ascii="Times New Roman" w:hAnsi="Times New Roman"/>
          <w:b/>
        </w:rPr>
      </w:pPr>
    </w:p>
    <w:p w:rsidR="00AC085E" w:rsidRDefault="00AC085E">
      <w:pPr>
        <w:pStyle w:val="Texte"/>
        <w:ind w:left="2269" w:right="2602"/>
        <w:jc w:val="center"/>
        <w:rPr>
          <w:rFonts w:ascii="Times New Roman" w:hAnsi="Times New Roman"/>
          <w:b/>
        </w:rPr>
      </w:pPr>
    </w:p>
    <w:bookmarkEnd w:id="0"/>
    <w:p w:rsidR="00AC085E" w:rsidRDefault="00AC085E">
      <w:pPr>
        <w:pStyle w:val="Texte"/>
        <w:ind w:left="2269" w:right="2602"/>
        <w:jc w:val="center"/>
        <w:rPr>
          <w:rFonts w:ascii="Times New Roman" w:hAnsi="Times New Roman"/>
          <w:sz w:val="32"/>
        </w:rPr>
      </w:pPr>
    </w:p>
    <w:p w:rsidR="00AC085E" w:rsidRDefault="00000000">
      <w:pPr>
        <w:jc w:val="center"/>
        <w:rPr>
          <w:b/>
          <w:caps/>
          <w:sz w:val="28"/>
          <w:szCs w:val="28"/>
        </w:rPr>
      </w:pPr>
      <w:r>
        <w:rPr>
          <w:b/>
          <w:sz w:val="28"/>
          <w:szCs w:val="28"/>
        </w:rPr>
        <w:t>PRESTATIONS TECHNIQUES EN OPHTALMOLOGIE</w:t>
      </w:r>
    </w:p>
    <w:p w:rsidR="00AC085E" w:rsidRDefault="00AC085E">
      <w:pPr>
        <w:pStyle w:val="Texte"/>
        <w:ind w:left="2269" w:right="2602"/>
        <w:jc w:val="center"/>
        <w:rPr>
          <w:rFonts w:ascii="Times New Roman" w:hAnsi="Times New Roman"/>
          <w:sz w:val="32"/>
        </w:rPr>
      </w:pPr>
    </w:p>
    <w:p w:rsidR="00AC085E" w:rsidRDefault="00AC085E">
      <w:pPr>
        <w:pStyle w:val="Texte"/>
        <w:ind w:left="2269" w:right="2602"/>
        <w:jc w:val="center"/>
        <w:rPr>
          <w:rFonts w:ascii="Times New Roman" w:hAnsi="Times New Roman"/>
          <w:sz w:val="32"/>
        </w:rPr>
      </w:pPr>
    </w:p>
    <w:p w:rsidR="00AC085E" w:rsidRDefault="00000000">
      <w:pPr>
        <w:pStyle w:val="Texte"/>
        <w:spacing w:before="120"/>
        <w:jc w:val="center"/>
        <w:rPr>
          <w:rFonts w:ascii="Times New Roman" w:hAnsi="Times New Roman"/>
          <w:b/>
          <w:noProof w:val="0"/>
        </w:rPr>
      </w:pPr>
      <w:r>
        <w:rPr>
          <w:rFonts w:ascii="Times New Roman" w:hAnsi="Times New Roman"/>
          <w:b/>
          <w:noProof w:val="0"/>
        </w:rPr>
        <w:t xml:space="preserve">ENSEIGNEMENT </w:t>
      </w:r>
      <w:r>
        <w:rPr>
          <w:rFonts w:ascii="Times New Roman" w:hAnsi="Times New Roman"/>
          <w:b/>
          <w:caps/>
          <w:noProof w:val="0"/>
        </w:rPr>
        <w:t>SUPERIEUR DE TYPE COURT</w:t>
      </w:r>
    </w:p>
    <w:p w:rsidR="00AC085E" w:rsidRDefault="00AC085E">
      <w:pPr>
        <w:pStyle w:val="Texte"/>
        <w:ind w:left="2269" w:right="2602"/>
        <w:jc w:val="center"/>
        <w:rPr>
          <w:rFonts w:ascii="Times New Roman" w:hAnsi="Times New Roman"/>
        </w:rPr>
      </w:pPr>
    </w:p>
    <w:p w:rsidR="00AC085E" w:rsidRDefault="00000000">
      <w:pPr>
        <w:pStyle w:val="Texte"/>
        <w:spacing w:before="120"/>
        <w:jc w:val="center"/>
        <w:rPr>
          <w:rFonts w:ascii="Times New Roman" w:hAnsi="Times New Roman"/>
          <w:b/>
          <w:noProof w:val="0"/>
        </w:rPr>
      </w:pPr>
      <w:bookmarkStart w:id="1" w:name="_Hlk529792902"/>
      <w:r>
        <w:rPr>
          <w:rFonts w:ascii="Times New Roman" w:hAnsi="Times New Roman"/>
          <w:b/>
          <w:noProof w:val="0"/>
        </w:rPr>
        <w:t>DOMAINE : SCIENCES DE LA SANTE PUBLIQUE</w:t>
      </w:r>
    </w:p>
    <w:bookmarkEnd w:id="1"/>
    <w:p w:rsidR="00AC085E" w:rsidRDefault="00AC085E">
      <w:pPr>
        <w:pStyle w:val="Texte"/>
        <w:ind w:left="2269" w:right="2602"/>
        <w:jc w:val="center"/>
        <w:rPr>
          <w:rFonts w:ascii="Times New Roman" w:hAnsi="Times New Roman"/>
          <w:b/>
          <w:noProof w:val="0"/>
          <w:sz w:val="28"/>
        </w:rPr>
      </w:pPr>
    </w:p>
    <w:p w:rsidR="00AC085E" w:rsidRDefault="00AC085E">
      <w:pPr>
        <w:pStyle w:val="Texte"/>
        <w:ind w:left="2269" w:right="2602"/>
        <w:jc w:val="center"/>
        <w:rPr>
          <w:rFonts w:ascii="Times New Roman" w:hAnsi="Times New Roman"/>
          <w:b/>
          <w:noProof w:val="0"/>
          <w:sz w:val="28"/>
        </w:rPr>
      </w:pPr>
    </w:p>
    <w:p w:rsidR="00AC085E" w:rsidRDefault="00AC085E">
      <w:pPr>
        <w:pStyle w:val="Texte"/>
        <w:ind w:left="2269" w:right="2602"/>
        <w:jc w:val="center"/>
        <w:rPr>
          <w:rFonts w:ascii="Times New Roman" w:hAnsi="Times New Roman"/>
          <w:b/>
          <w:noProof w:val="0"/>
          <w:sz w:val="28"/>
        </w:rPr>
      </w:pPr>
    </w:p>
    <w:p w:rsidR="00AC085E" w:rsidRDefault="00AC085E">
      <w:pPr>
        <w:pStyle w:val="Texte"/>
        <w:ind w:left="2269" w:right="2602"/>
        <w:jc w:val="center"/>
        <w:rPr>
          <w:rFonts w:ascii="Times New Roman" w:hAnsi="Times New Roman"/>
          <w:b/>
          <w:noProof w:val="0"/>
          <w:sz w:val="28"/>
        </w:rPr>
      </w:pPr>
    </w:p>
    <w:p w:rsidR="00AC085E" w:rsidRDefault="00AC085E">
      <w:pPr>
        <w:pStyle w:val="Texte"/>
        <w:ind w:left="2269" w:right="2602"/>
        <w:jc w:val="center"/>
        <w:rPr>
          <w:rFonts w:ascii="Times New Roman" w:hAnsi="Times New Roman"/>
          <w:b/>
          <w:noProof w:val="0"/>
          <w:sz w:val="28"/>
        </w:rPr>
      </w:pPr>
    </w:p>
    <w:p w:rsidR="00AC085E" w:rsidRDefault="00AC085E">
      <w:pPr>
        <w:pStyle w:val="Texte"/>
        <w:ind w:left="2269" w:right="2602"/>
        <w:jc w:val="center"/>
        <w:rPr>
          <w:rFonts w:ascii="Times New Roman" w:hAnsi="Times New Roman"/>
          <w:b/>
          <w:noProof w:val="0"/>
          <w:sz w:val="28"/>
        </w:rPr>
      </w:pPr>
    </w:p>
    <w:tbl>
      <w:tblPr>
        <w:tblW w:w="0" w:type="auto"/>
        <w:tblInd w:w="1772"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529"/>
      </w:tblGrid>
      <w:tr w:rsidR="00AC085E">
        <w:tc>
          <w:tcPr>
            <w:tcW w:w="5529" w:type="dxa"/>
          </w:tcPr>
          <w:p w:rsidR="00AC085E" w:rsidRDefault="00000000">
            <w:pPr>
              <w:pStyle w:val="Texte"/>
              <w:jc w:val="center"/>
              <w:rPr>
                <w:rFonts w:ascii="Times New Roman" w:hAnsi="Times New Roman"/>
                <w:b/>
                <w:noProof w:val="0"/>
                <w:lang w:val="nl-NL"/>
              </w:rPr>
            </w:pPr>
            <w:r>
              <w:rPr>
                <w:rFonts w:ascii="Times New Roman" w:hAnsi="Times New Roman"/>
                <w:b/>
                <w:noProof w:val="0"/>
                <w:lang w:val="nl-NL"/>
              </w:rPr>
              <w:t xml:space="preserve">CODE : 91 43 12 </w:t>
            </w:r>
            <w:r>
              <w:rPr>
                <w:rFonts w:ascii="Times New Roman" w:hAnsi="Times New Roman"/>
                <w:b/>
                <w:lang w:val="nl-NL"/>
              </w:rPr>
              <w:t>U34 D3</w:t>
            </w:r>
          </w:p>
        </w:tc>
      </w:tr>
      <w:tr w:rsidR="00AC085E">
        <w:tc>
          <w:tcPr>
            <w:tcW w:w="5529" w:type="dxa"/>
          </w:tcPr>
          <w:p w:rsidR="00AC085E" w:rsidRDefault="00000000">
            <w:pPr>
              <w:pStyle w:val="Texte"/>
              <w:jc w:val="center"/>
              <w:rPr>
                <w:rFonts w:ascii="Times New Roman" w:hAnsi="Times New Roman"/>
                <w:b/>
                <w:noProof w:val="0"/>
              </w:rPr>
            </w:pPr>
            <w:r>
              <w:rPr>
                <w:rFonts w:ascii="Times New Roman" w:hAnsi="Times New Roman"/>
                <w:b/>
                <w:noProof w:val="0"/>
              </w:rPr>
              <w:t>CODE DU DOMAINE DE FORMATION : 905</w:t>
            </w:r>
          </w:p>
        </w:tc>
      </w:tr>
      <w:tr w:rsidR="00AC085E">
        <w:tc>
          <w:tcPr>
            <w:tcW w:w="5529" w:type="dxa"/>
          </w:tcPr>
          <w:p w:rsidR="00AC085E" w:rsidRDefault="00000000">
            <w:pPr>
              <w:pStyle w:val="Texte"/>
              <w:jc w:val="center"/>
              <w:rPr>
                <w:rFonts w:ascii="Times New Roman" w:hAnsi="Times New Roman"/>
                <w:noProof w:val="0"/>
              </w:rPr>
            </w:pPr>
            <w:r>
              <w:rPr>
                <w:rFonts w:ascii="Times New Roman" w:hAnsi="Times New Roman"/>
                <w:b/>
                <w:noProof w:val="0"/>
              </w:rPr>
              <w:t>DOCUMENT DE REFERENCE INTER-RESEAUX</w:t>
            </w:r>
          </w:p>
        </w:tc>
      </w:tr>
    </w:tbl>
    <w:p w:rsidR="00AC085E" w:rsidRDefault="00AC085E">
      <w:pPr>
        <w:jc w:val="center"/>
      </w:pPr>
    </w:p>
    <w:p w:rsidR="00AC085E" w:rsidRDefault="00AC085E">
      <w:pPr>
        <w:jc w:val="center"/>
      </w:pPr>
    </w:p>
    <w:p w:rsidR="00AC085E" w:rsidRDefault="00AC085E">
      <w:pPr>
        <w:jc w:val="center"/>
      </w:pPr>
    </w:p>
    <w:p w:rsidR="00AC085E" w:rsidRDefault="00AC085E">
      <w:pPr>
        <w:jc w:val="center"/>
        <w:rPr>
          <w:b/>
        </w:rPr>
      </w:pPr>
    </w:p>
    <w:p w:rsidR="00AC085E" w:rsidRDefault="00000000">
      <w:pPr>
        <w:jc w:val="center"/>
        <w:rPr>
          <w:b/>
        </w:rPr>
      </w:pPr>
      <w:bookmarkStart w:id="2" w:name="_Hlk529793796"/>
      <w:r>
        <w:rPr>
          <w:b/>
        </w:rPr>
        <w:t xml:space="preserve">Approbation du Gouvernement de la Communauté française du </w:t>
      </w:r>
      <w:r w:rsidR="00E34B1E" w:rsidRPr="00E34B1E">
        <w:rPr>
          <w:b/>
        </w:rPr>
        <w:t>11 juin 2024</w:t>
      </w:r>
      <w:r>
        <w:rPr>
          <w:b/>
        </w:rPr>
        <w:t>,</w:t>
      </w:r>
    </w:p>
    <w:p w:rsidR="00AC085E" w:rsidRDefault="00000000">
      <w:pPr>
        <w:jc w:val="center"/>
        <w:rPr>
          <w:b/>
        </w:rPr>
      </w:pPr>
      <w:r>
        <w:rPr>
          <w:b/>
        </w:rPr>
        <w:t>sur avis conforme de Conseil général</w:t>
      </w:r>
    </w:p>
    <w:p w:rsidR="00AC085E" w:rsidRDefault="00000000">
      <w:pPr>
        <w:pStyle w:val="tableauc"/>
      </w:pPr>
      <w:r>
        <w:br w:type="page"/>
      </w:r>
      <w:bookmarkEnd w:id="2"/>
    </w:p>
    <w:tbl>
      <w:tblPr>
        <w:tblW w:w="9362" w:type="dxa"/>
        <w:tblInd w:w="-150" w:type="dxa"/>
        <w:tblBorders>
          <w:top w:val="single" w:sz="6" w:space="0" w:color="auto"/>
          <w:left w:val="single" w:sz="6" w:space="0" w:color="auto"/>
          <w:bottom w:val="single" w:sz="36" w:space="0" w:color="auto"/>
          <w:right w:val="single" w:sz="36" w:space="0" w:color="auto"/>
        </w:tblBorders>
        <w:tblLayout w:type="fixed"/>
        <w:tblCellMar>
          <w:left w:w="70" w:type="dxa"/>
          <w:right w:w="70" w:type="dxa"/>
        </w:tblCellMar>
        <w:tblLook w:val="0000" w:firstRow="0" w:lastRow="0" w:firstColumn="0" w:lastColumn="0" w:noHBand="0" w:noVBand="0"/>
      </w:tblPr>
      <w:tblGrid>
        <w:gridCol w:w="9362"/>
      </w:tblGrid>
      <w:tr w:rsidR="00AC085E">
        <w:tc>
          <w:tcPr>
            <w:tcW w:w="9362" w:type="dxa"/>
          </w:tcPr>
          <w:p w:rsidR="00AC085E" w:rsidRDefault="00000000">
            <w:pPr>
              <w:jc w:val="center"/>
              <w:rPr>
                <w:b/>
              </w:rPr>
            </w:pPr>
            <w:r>
              <w:rPr>
                <w:b/>
              </w:rPr>
              <w:lastRenderedPageBreak/>
              <w:br w:type="page"/>
            </w:r>
          </w:p>
          <w:p w:rsidR="00AC085E" w:rsidRDefault="00000000">
            <w:pPr>
              <w:jc w:val="center"/>
              <w:rPr>
                <w:b/>
                <w:caps/>
                <w:sz w:val="28"/>
                <w:szCs w:val="28"/>
              </w:rPr>
            </w:pPr>
            <w:r>
              <w:rPr>
                <w:b/>
                <w:sz w:val="28"/>
                <w:szCs w:val="28"/>
              </w:rPr>
              <w:t>PRESTATIONS TECHNIQUES EN OPHTALMOLOGIE</w:t>
            </w:r>
          </w:p>
          <w:p w:rsidR="00AC085E" w:rsidRDefault="00000000">
            <w:pPr>
              <w:pStyle w:val="Texte"/>
              <w:spacing w:before="120"/>
              <w:jc w:val="center"/>
              <w:rPr>
                <w:rFonts w:ascii="Times New Roman" w:hAnsi="Times New Roman"/>
                <w:b/>
                <w:noProof w:val="0"/>
              </w:rPr>
            </w:pPr>
            <w:r>
              <w:rPr>
                <w:rFonts w:ascii="Times New Roman" w:hAnsi="Times New Roman"/>
                <w:b/>
                <w:noProof w:val="0"/>
              </w:rPr>
              <w:t xml:space="preserve">ENSEIGNEMENT </w:t>
            </w:r>
            <w:r>
              <w:rPr>
                <w:rFonts w:ascii="Times New Roman" w:hAnsi="Times New Roman"/>
                <w:b/>
                <w:caps/>
                <w:noProof w:val="0"/>
              </w:rPr>
              <w:t>SUPERIEUR DE TYPE COURT</w:t>
            </w:r>
          </w:p>
          <w:p w:rsidR="00AC085E" w:rsidRDefault="00AC085E">
            <w:pPr>
              <w:jc w:val="center"/>
              <w:rPr>
                <w:b/>
              </w:rPr>
            </w:pPr>
          </w:p>
        </w:tc>
      </w:tr>
    </w:tbl>
    <w:p w:rsidR="00AC085E" w:rsidRDefault="00AC085E"/>
    <w:p w:rsidR="00AC085E" w:rsidRDefault="00000000">
      <w:pPr>
        <w:tabs>
          <w:tab w:val="left" w:pos="426"/>
        </w:tabs>
        <w:spacing w:after="120"/>
        <w:jc w:val="both"/>
        <w:rPr>
          <w:b/>
          <w:szCs w:val="22"/>
        </w:rPr>
      </w:pPr>
      <w:bookmarkStart w:id="3" w:name="_Hlk529792943"/>
      <w:r>
        <w:rPr>
          <w:b/>
        </w:rPr>
        <w:t>1.</w:t>
      </w:r>
      <w:r>
        <w:rPr>
          <w:b/>
        </w:rPr>
        <w:tab/>
      </w:r>
      <w:r>
        <w:rPr>
          <w:b/>
          <w:szCs w:val="22"/>
        </w:rPr>
        <w:t>FINALITES DE L’UNITE D’ENSEIGNEMENT</w:t>
      </w:r>
    </w:p>
    <w:bookmarkEnd w:id="3"/>
    <w:p w:rsidR="00AC085E" w:rsidRDefault="00000000">
      <w:pPr>
        <w:spacing w:after="120"/>
        <w:ind w:left="851" w:hanging="425"/>
        <w:jc w:val="both"/>
        <w:rPr>
          <w:b/>
          <w:szCs w:val="22"/>
        </w:rPr>
      </w:pPr>
      <w:r>
        <w:rPr>
          <w:b/>
          <w:szCs w:val="22"/>
        </w:rPr>
        <w:t>1.1.</w:t>
      </w:r>
      <w:r>
        <w:rPr>
          <w:b/>
          <w:szCs w:val="22"/>
        </w:rPr>
        <w:tab/>
        <w:t>Finalités générales</w:t>
      </w:r>
    </w:p>
    <w:p w:rsidR="00AC085E" w:rsidRDefault="00000000">
      <w:pPr>
        <w:spacing w:after="120"/>
        <w:ind w:left="851"/>
        <w:jc w:val="both"/>
        <w:rPr>
          <w:szCs w:val="22"/>
        </w:rPr>
      </w:pPr>
      <w:r>
        <w:rPr>
          <w:szCs w:val="22"/>
        </w:rPr>
        <w:t>Conformément à l’article 7 du décret de la Communauté française du 16 avril 1991 organisant l'Enseignement de promotion sociale, cette unité d’enseignement doit :</w:t>
      </w:r>
    </w:p>
    <w:p w:rsidR="00AC085E" w:rsidRDefault="00000000">
      <w:pPr>
        <w:numPr>
          <w:ilvl w:val="0"/>
          <w:numId w:val="2"/>
        </w:numPr>
        <w:tabs>
          <w:tab w:val="num" w:pos="1134"/>
          <w:tab w:val="num" w:pos="1494"/>
        </w:tabs>
        <w:spacing w:after="120"/>
        <w:ind w:left="1134" w:hanging="283"/>
        <w:jc w:val="both"/>
      </w:pPr>
      <w:r>
        <w:t>concourir à l’épanouissement individuel en promouvant une meilleure insertion professionnelle, sociale, culturelle et scolaire ;</w:t>
      </w:r>
    </w:p>
    <w:p w:rsidR="00AC085E" w:rsidRDefault="00000000">
      <w:pPr>
        <w:numPr>
          <w:ilvl w:val="0"/>
          <w:numId w:val="2"/>
        </w:numPr>
        <w:tabs>
          <w:tab w:val="num" w:pos="1134"/>
          <w:tab w:val="num" w:pos="1494"/>
        </w:tabs>
        <w:spacing w:after="120"/>
        <w:ind w:left="1134" w:hanging="283"/>
        <w:jc w:val="both"/>
      </w:pPr>
      <w:r>
        <w:t>répondre aux besoins et demandes en formation émanant des entreprises, des administrations, de l’enseignement et, d’une manière générale, des milieux socio-économiques et culturels.</w:t>
      </w:r>
    </w:p>
    <w:p w:rsidR="00AC085E" w:rsidRDefault="00000000">
      <w:pPr>
        <w:spacing w:after="120"/>
        <w:ind w:left="851" w:hanging="425"/>
        <w:jc w:val="both"/>
        <w:rPr>
          <w:b/>
          <w:szCs w:val="22"/>
        </w:rPr>
      </w:pPr>
      <w:r>
        <w:rPr>
          <w:b/>
          <w:szCs w:val="22"/>
        </w:rPr>
        <w:t>1.2.</w:t>
      </w:r>
      <w:r>
        <w:rPr>
          <w:b/>
          <w:szCs w:val="22"/>
        </w:rPr>
        <w:tab/>
        <w:t>Finalités particulières</w:t>
      </w:r>
    </w:p>
    <w:p w:rsidR="00AC085E" w:rsidRDefault="00000000">
      <w:pPr>
        <w:spacing w:after="120"/>
        <w:ind w:left="851"/>
        <w:jc w:val="both"/>
        <w:rPr>
          <w:szCs w:val="22"/>
        </w:rPr>
      </w:pPr>
      <w:r>
        <w:rPr>
          <w:szCs w:val="22"/>
        </w:rPr>
        <w:t>Cette unité d’enseignement vise à permettre à l’étudiant d’acquérir des notions théoriques et pratiques de techniques d’examens ophtalmologiques et d’instrumentation en chirurgie ophtalmique ainsi que l’utilisation et l’administration de collyres en respectant les règles d’hygiène et d’asepsie pour un travail en service d’ophtalmologie et pour un travail stérile en chirurgie ophtalmique.</w:t>
      </w:r>
    </w:p>
    <w:p w:rsidR="00AC085E" w:rsidRDefault="00AC085E">
      <w:pPr>
        <w:spacing w:after="120"/>
        <w:jc w:val="both"/>
        <w:rPr>
          <w:szCs w:val="22"/>
        </w:rPr>
      </w:pPr>
    </w:p>
    <w:p w:rsidR="00AC085E" w:rsidRDefault="00000000">
      <w:pPr>
        <w:tabs>
          <w:tab w:val="left" w:pos="426"/>
        </w:tabs>
        <w:spacing w:after="120"/>
        <w:jc w:val="both"/>
        <w:rPr>
          <w:szCs w:val="22"/>
        </w:rPr>
      </w:pPr>
      <w:r>
        <w:rPr>
          <w:b/>
          <w:szCs w:val="22"/>
        </w:rPr>
        <w:t>2.</w:t>
      </w:r>
      <w:r>
        <w:rPr>
          <w:b/>
          <w:szCs w:val="22"/>
        </w:rPr>
        <w:tab/>
        <w:t>CAPACITES PREALABLES REQUISES</w:t>
      </w:r>
    </w:p>
    <w:p w:rsidR="00AC085E" w:rsidRDefault="00000000">
      <w:pPr>
        <w:numPr>
          <w:ilvl w:val="1"/>
          <w:numId w:val="3"/>
        </w:numPr>
        <w:spacing w:after="120"/>
        <w:jc w:val="both"/>
        <w:rPr>
          <w:b/>
          <w:szCs w:val="22"/>
        </w:rPr>
      </w:pPr>
      <w:r>
        <w:rPr>
          <w:b/>
          <w:szCs w:val="22"/>
        </w:rPr>
        <w:t>Capacités</w:t>
      </w:r>
    </w:p>
    <w:p w:rsidR="00AC085E" w:rsidRDefault="00000000">
      <w:pPr>
        <w:spacing w:after="120"/>
        <w:ind w:left="860"/>
        <w:jc w:val="both"/>
        <w:rPr>
          <w:b/>
          <w:szCs w:val="22"/>
        </w:rPr>
      </w:pPr>
      <w:r>
        <w:rPr>
          <w:b/>
          <w:szCs w:val="22"/>
        </w:rPr>
        <w:t>En sciences oculaires spécialisées,</w:t>
      </w:r>
    </w:p>
    <w:p w:rsidR="00AC085E" w:rsidRDefault="00000000">
      <w:pPr>
        <w:spacing w:after="120"/>
        <w:ind w:left="851"/>
        <w:jc w:val="both"/>
        <w:rPr>
          <w:i/>
          <w:szCs w:val="22"/>
          <w:lang w:eastAsia="en-US"/>
        </w:rPr>
      </w:pPr>
      <w:r>
        <w:rPr>
          <w:i/>
          <w:szCs w:val="22"/>
        </w:rPr>
        <w:t>pour une situation de dysfonctionnement visuel lié à au moins deux types de pathologie du segment antérieur de l’œil et de ses annexes,</w:t>
      </w:r>
    </w:p>
    <w:p w:rsidR="00AC085E" w:rsidRDefault="00000000">
      <w:pPr>
        <w:spacing w:after="120"/>
        <w:ind w:left="851"/>
        <w:jc w:val="both"/>
        <w:rPr>
          <w:i/>
          <w:szCs w:val="22"/>
        </w:rPr>
      </w:pPr>
      <w:r>
        <w:rPr>
          <w:i/>
          <w:szCs w:val="22"/>
        </w:rPr>
        <w:t xml:space="preserve">en disposant de la documentation ad hoc (résultats d’examens cliniques, d’examens visuels, d’imageries d’assistance en instrumentation ophtalmique, projections,…), </w:t>
      </w:r>
    </w:p>
    <w:p w:rsidR="00AC085E" w:rsidRDefault="00000000">
      <w:pPr>
        <w:numPr>
          <w:ilvl w:val="0"/>
          <w:numId w:val="2"/>
        </w:numPr>
        <w:tabs>
          <w:tab w:val="num" w:pos="709"/>
          <w:tab w:val="num" w:pos="1134"/>
          <w:tab w:val="num" w:pos="1494"/>
        </w:tabs>
        <w:spacing w:after="120"/>
        <w:ind w:left="1134" w:hanging="283"/>
        <w:jc w:val="both"/>
      </w:pPr>
      <w:r>
        <w:t>expliquer les techniques d’examen à mettre en œuvre ;</w:t>
      </w:r>
    </w:p>
    <w:p w:rsidR="00AC085E" w:rsidRDefault="00000000">
      <w:pPr>
        <w:numPr>
          <w:ilvl w:val="0"/>
          <w:numId w:val="2"/>
        </w:numPr>
        <w:tabs>
          <w:tab w:val="num" w:pos="709"/>
          <w:tab w:val="num" w:pos="1134"/>
          <w:tab w:val="num" w:pos="1494"/>
        </w:tabs>
        <w:spacing w:after="120"/>
        <w:ind w:left="1134" w:hanging="283"/>
        <w:jc w:val="both"/>
      </w:pPr>
      <w:r>
        <w:t>identifier et de décrire la pathologie concernée ;</w:t>
      </w:r>
    </w:p>
    <w:p w:rsidR="00AC085E" w:rsidRDefault="00000000">
      <w:pPr>
        <w:numPr>
          <w:ilvl w:val="0"/>
          <w:numId w:val="2"/>
        </w:numPr>
        <w:tabs>
          <w:tab w:val="num" w:pos="709"/>
          <w:tab w:val="num" w:pos="1134"/>
          <w:tab w:val="num" w:pos="1494"/>
        </w:tabs>
        <w:spacing w:after="120"/>
        <w:ind w:left="1134" w:hanging="283"/>
        <w:jc w:val="both"/>
      </w:pPr>
      <w:r>
        <w:t xml:space="preserve">établir les relations entre les dysfonctionnements, les causes, les symptômes, les évolutions et les traitements ; </w:t>
      </w:r>
    </w:p>
    <w:p w:rsidR="00AC085E" w:rsidRDefault="00000000">
      <w:pPr>
        <w:numPr>
          <w:ilvl w:val="0"/>
          <w:numId w:val="2"/>
        </w:numPr>
        <w:tabs>
          <w:tab w:val="num" w:pos="709"/>
          <w:tab w:val="num" w:pos="1134"/>
          <w:tab w:val="num" w:pos="1494"/>
        </w:tabs>
        <w:spacing w:after="120"/>
        <w:ind w:left="1134" w:hanging="283"/>
        <w:jc w:val="both"/>
      </w:pPr>
      <w:r>
        <w:t>justifier les traitements utilisés en tenant compte des limites déontologiques de la profession ;</w:t>
      </w:r>
    </w:p>
    <w:p w:rsidR="00AC085E" w:rsidRDefault="00000000">
      <w:pPr>
        <w:spacing w:after="120"/>
        <w:ind w:left="851"/>
        <w:jc w:val="both"/>
        <w:rPr>
          <w:i/>
          <w:szCs w:val="22"/>
        </w:rPr>
      </w:pPr>
      <w:r>
        <w:rPr>
          <w:i/>
          <w:szCs w:val="22"/>
        </w:rPr>
        <w:t>pour une situation de dysfonctionnement visuel lié à au moins deux types de pathologie du segment postérieur de l’œil et des voies optiques,</w:t>
      </w:r>
    </w:p>
    <w:p w:rsidR="00AC085E" w:rsidRDefault="00000000">
      <w:pPr>
        <w:spacing w:after="120"/>
        <w:ind w:left="851"/>
        <w:jc w:val="both"/>
        <w:rPr>
          <w:i/>
          <w:szCs w:val="22"/>
        </w:rPr>
      </w:pPr>
      <w:r>
        <w:rPr>
          <w:i/>
          <w:szCs w:val="22"/>
        </w:rPr>
        <w:t xml:space="preserve">en disposant de la documentation ad hoc (résultats d’examens cliniques, d’examens visuels, d’imageries d’assistance en instrumentation ophtalmique, projections,…), </w:t>
      </w:r>
    </w:p>
    <w:p w:rsidR="00AC085E" w:rsidRDefault="00000000">
      <w:pPr>
        <w:numPr>
          <w:ilvl w:val="0"/>
          <w:numId w:val="2"/>
        </w:numPr>
        <w:tabs>
          <w:tab w:val="num" w:pos="709"/>
          <w:tab w:val="num" w:pos="1134"/>
          <w:tab w:val="num" w:pos="1494"/>
        </w:tabs>
        <w:spacing w:after="120"/>
        <w:ind w:left="1134" w:hanging="283"/>
        <w:jc w:val="both"/>
      </w:pPr>
      <w:r>
        <w:t>expliquer les techniques d’examen à mettre en œuvre ;</w:t>
      </w:r>
    </w:p>
    <w:p w:rsidR="00AC085E" w:rsidRDefault="00000000">
      <w:pPr>
        <w:numPr>
          <w:ilvl w:val="0"/>
          <w:numId w:val="2"/>
        </w:numPr>
        <w:tabs>
          <w:tab w:val="num" w:pos="709"/>
          <w:tab w:val="num" w:pos="1134"/>
          <w:tab w:val="num" w:pos="1494"/>
        </w:tabs>
        <w:spacing w:after="120"/>
        <w:ind w:left="1134" w:hanging="283"/>
        <w:jc w:val="both"/>
      </w:pPr>
      <w:r>
        <w:t>identifier et de décrire la pathologie concernée ;</w:t>
      </w:r>
    </w:p>
    <w:p w:rsidR="00AC085E" w:rsidRDefault="00000000">
      <w:pPr>
        <w:numPr>
          <w:ilvl w:val="0"/>
          <w:numId w:val="2"/>
        </w:numPr>
        <w:tabs>
          <w:tab w:val="num" w:pos="709"/>
          <w:tab w:val="num" w:pos="1134"/>
          <w:tab w:val="num" w:pos="1494"/>
        </w:tabs>
        <w:spacing w:after="120"/>
        <w:ind w:left="1134" w:hanging="283"/>
        <w:jc w:val="both"/>
      </w:pPr>
      <w:r>
        <w:t>établir les relations entre les dysfonctionnements, les causes, les symptômes, les évolutions et les traitements ;</w:t>
      </w:r>
    </w:p>
    <w:p w:rsidR="00AC085E" w:rsidRDefault="00000000">
      <w:pPr>
        <w:numPr>
          <w:ilvl w:val="0"/>
          <w:numId w:val="2"/>
        </w:numPr>
        <w:tabs>
          <w:tab w:val="num" w:pos="709"/>
          <w:tab w:val="num" w:pos="1134"/>
          <w:tab w:val="num" w:pos="1494"/>
        </w:tabs>
        <w:spacing w:after="120"/>
        <w:ind w:left="1134" w:hanging="283"/>
        <w:jc w:val="both"/>
      </w:pPr>
      <w:r>
        <w:t>justifier les traitements utilisés en tenant compte des limites déontologiques de la profession.</w:t>
      </w:r>
    </w:p>
    <w:p w:rsidR="00AC085E" w:rsidRDefault="00000000">
      <w:r>
        <w:br w:type="page"/>
      </w:r>
    </w:p>
    <w:p w:rsidR="00AC085E" w:rsidRDefault="00000000">
      <w:pPr>
        <w:numPr>
          <w:ilvl w:val="1"/>
          <w:numId w:val="3"/>
        </w:numPr>
        <w:spacing w:after="120"/>
        <w:jc w:val="both"/>
        <w:rPr>
          <w:b/>
          <w:szCs w:val="22"/>
        </w:rPr>
      </w:pPr>
      <w:r>
        <w:rPr>
          <w:b/>
          <w:szCs w:val="22"/>
        </w:rPr>
        <w:lastRenderedPageBreak/>
        <w:t>Titre pouvant en tenir lieu</w:t>
      </w:r>
    </w:p>
    <w:p w:rsidR="00AC085E" w:rsidRDefault="00000000">
      <w:pPr>
        <w:spacing w:after="120"/>
        <w:ind w:left="851"/>
        <w:jc w:val="both"/>
        <w:rPr>
          <w:szCs w:val="22"/>
        </w:rPr>
      </w:pPr>
      <w:r>
        <w:rPr>
          <w:szCs w:val="22"/>
        </w:rPr>
        <w:t xml:space="preserve">Attestation de réussite de l’unité d’enseignement </w:t>
      </w:r>
      <w:r>
        <w:rPr>
          <w:b/>
          <w:szCs w:val="22"/>
        </w:rPr>
        <w:t>« Sciences oculaires spécialisées »</w:t>
      </w:r>
      <w:r>
        <w:rPr>
          <w:szCs w:val="22"/>
        </w:rPr>
        <w:t xml:space="preserve">,            code n° </w:t>
      </w:r>
      <w:r>
        <w:rPr>
          <w:b/>
          <w:szCs w:val="22"/>
        </w:rPr>
        <w:t>91 43 25 U34 D3</w:t>
      </w:r>
      <w:r>
        <w:rPr>
          <w:szCs w:val="22"/>
        </w:rPr>
        <w:t>, classée dans l’enseignement supérieur de type court.</w:t>
      </w:r>
    </w:p>
    <w:p w:rsidR="00AC085E" w:rsidRDefault="00000000">
      <w:pPr>
        <w:rPr>
          <w:szCs w:val="22"/>
        </w:rPr>
      </w:pPr>
      <w:r>
        <w:rPr>
          <w:szCs w:val="22"/>
        </w:rPr>
        <w:br w:type="page"/>
      </w:r>
    </w:p>
    <w:p w:rsidR="00AC085E" w:rsidRDefault="00AC085E">
      <w:pPr>
        <w:spacing w:after="120"/>
        <w:jc w:val="both"/>
        <w:rPr>
          <w:szCs w:val="22"/>
        </w:rPr>
      </w:pPr>
    </w:p>
    <w:p w:rsidR="00AC085E" w:rsidRDefault="00000000">
      <w:pPr>
        <w:tabs>
          <w:tab w:val="left" w:pos="426"/>
        </w:tabs>
        <w:spacing w:after="120"/>
        <w:jc w:val="both"/>
        <w:rPr>
          <w:b/>
          <w:szCs w:val="22"/>
        </w:rPr>
      </w:pPr>
      <w:r>
        <w:rPr>
          <w:b/>
          <w:szCs w:val="22"/>
        </w:rPr>
        <w:t>3.</w:t>
      </w:r>
      <w:r>
        <w:rPr>
          <w:b/>
          <w:szCs w:val="22"/>
        </w:rPr>
        <w:tab/>
        <w:t>ACQUIS D’APPRENTISSAGE</w:t>
      </w:r>
    </w:p>
    <w:p w:rsidR="00AC085E" w:rsidRDefault="00000000">
      <w:pPr>
        <w:spacing w:after="120"/>
        <w:ind w:firstLine="426"/>
        <w:jc w:val="both"/>
        <w:rPr>
          <w:b/>
          <w:szCs w:val="22"/>
        </w:rPr>
      </w:pPr>
      <w:r>
        <w:rPr>
          <w:b/>
          <w:szCs w:val="22"/>
        </w:rPr>
        <w:t>Pour atteindre le seuil de réussite, l’étudiant sera capable :</w:t>
      </w:r>
    </w:p>
    <w:p w:rsidR="00AC085E" w:rsidRDefault="00000000">
      <w:pPr>
        <w:spacing w:after="120"/>
        <w:ind w:left="426"/>
        <w:jc w:val="both"/>
        <w:rPr>
          <w:i/>
          <w:iCs/>
        </w:rPr>
      </w:pPr>
      <w:r>
        <w:rPr>
          <w:i/>
          <w:iCs/>
        </w:rPr>
        <w:t>face à une situation professionnelle en ophtalmologie,</w:t>
      </w:r>
    </w:p>
    <w:p w:rsidR="00AC085E" w:rsidRDefault="00000000">
      <w:pPr>
        <w:spacing w:after="120"/>
        <w:ind w:left="426"/>
        <w:jc w:val="both"/>
        <w:rPr>
          <w:i/>
          <w:iCs/>
        </w:rPr>
      </w:pPr>
      <w:r>
        <w:rPr>
          <w:i/>
          <w:iCs/>
        </w:rPr>
        <w:t xml:space="preserve">en disposant des documents </w:t>
      </w:r>
      <w:r>
        <w:rPr>
          <w:i/>
        </w:rPr>
        <w:t>(notices, articles technico-scientifiques, situations exemplatives, posologies ...)</w:t>
      </w:r>
      <w:r>
        <w:rPr>
          <w:i/>
          <w:iCs/>
        </w:rPr>
        <w:t>, des instruments et du matériel nécessaires,</w:t>
      </w:r>
    </w:p>
    <w:p w:rsidR="00AC085E" w:rsidRDefault="00000000">
      <w:pPr>
        <w:spacing w:after="120"/>
        <w:ind w:left="426"/>
        <w:jc w:val="both"/>
        <w:rPr>
          <w:i/>
          <w:iCs/>
        </w:rPr>
      </w:pPr>
      <w:r>
        <w:rPr>
          <w:i/>
          <w:iCs/>
        </w:rPr>
        <w:t>dans le respect des règles de sécurité, d’hygiène et de travail stérile et du développement durable,</w:t>
      </w:r>
    </w:p>
    <w:p w:rsidR="00AC085E" w:rsidRDefault="00000000">
      <w:pPr>
        <w:numPr>
          <w:ilvl w:val="0"/>
          <w:numId w:val="1"/>
        </w:numPr>
        <w:tabs>
          <w:tab w:val="num" w:pos="851"/>
        </w:tabs>
        <w:autoSpaceDE w:val="0"/>
        <w:autoSpaceDN w:val="0"/>
        <w:spacing w:after="120"/>
        <w:ind w:left="851" w:right="-143" w:hanging="425"/>
        <w:jc w:val="both"/>
      </w:pPr>
      <w:r>
        <w:rPr>
          <w:szCs w:val="22"/>
        </w:rPr>
        <w:t xml:space="preserve">de réaliser des examens d’assistance en ophtalmologie et de préparer le matériel d’instrumentation ophtalmologique, </w:t>
      </w:r>
      <w:r>
        <w:t xml:space="preserve">d’expliquer les techniques (objectifs, conditions de réalisation, procédure) permettant de mettre en évidence et de mesurer les anomalies du système visuel ; </w:t>
      </w:r>
    </w:p>
    <w:p w:rsidR="00AC085E" w:rsidRDefault="00000000">
      <w:pPr>
        <w:numPr>
          <w:ilvl w:val="0"/>
          <w:numId w:val="1"/>
        </w:numPr>
        <w:tabs>
          <w:tab w:val="num" w:pos="851"/>
        </w:tabs>
        <w:autoSpaceDE w:val="0"/>
        <w:autoSpaceDN w:val="0"/>
        <w:spacing w:after="120"/>
        <w:ind w:left="851" w:right="-143" w:hanging="425"/>
        <w:jc w:val="both"/>
        <w:rPr>
          <w:szCs w:val="22"/>
        </w:rPr>
      </w:pPr>
      <w:r>
        <w:rPr>
          <w:szCs w:val="22"/>
        </w:rPr>
        <w:t>d’interpréter les résultats en comparaison aux normes afin de formuler un pré-diagnostic ;</w:t>
      </w:r>
    </w:p>
    <w:p w:rsidR="00AC085E" w:rsidRDefault="00000000">
      <w:pPr>
        <w:numPr>
          <w:ilvl w:val="0"/>
          <w:numId w:val="1"/>
        </w:numPr>
        <w:tabs>
          <w:tab w:val="num" w:pos="851"/>
        </w:tabs>
        <w:autoSpaceDE w:val="0"/>
        <w:autoSpaceDN w:val="0"/>
        <w:spacing w:after="120"/>
        <w:ind w:left="851" w:right="-143" w:hanging="425"/>
        <w:jc w:val="both"/>
        <w:rPr>
          <w:szCs w:val="22"/>
        </w:rPr>
      </w:pPr>
      <w:r>
        <w:rPr>
          <w:szCs w:val="22"/>
        </w:rPr>
        <w:t>de décrire les caractéristiques et le bon usage d’un collyre et de réaliser son administration ;</w:t>
      </w:r>
    </w:p>
    <w:p w:rsidR="00AC085E" w:rsidRDefault="00000000">
      <w:pPr>
        <w:numPr>
          <w:ilvl w:val="0"/>
          <w:numId w:val="1"/>
        </w:numPr>
        <w:tabs>
          <w:tab w:val="num" w:pos="851"/>
        </w:tabs>
        <w:autoSpaceDE w:val="0"/>
        <w:autoSpaceDN w:val="0"/>
        <w:spacing w:after="120"/>
        <w:ind w:left="851" w:right="-143" w:hanging="425"/>
        <w:jc w:val="both"/>
        <w:rPr>
          <w:szCs w:val="22"/>
        </w:rPr>
      </w:pPr>
      <w:r>
        <w:rPr>
          <w:szCs w:val="22"/>
        </w:rPr>
        <w:t>pour au moins deux médicaments ophtalmiques, d’expliquer leurs indications, leurs modes d’action, leurs caractéristiques, leurs effets attendus et leurs effets secondaires sur le système visuel.</w:t>
      </w:r>
    </w:p>
    <w:p w:rsidR="00AC085E" w:rsidRDefault="00000000">
      <w:pPr>
        <w:spacing w:after="120"/>
        <w:ind w:firstLine="426"/>
        <w:jc w:val="both"/>
        <w:rPr>
          <w:b/>
          <w:bCs/>
        </w:rPr>
      </w:pPr>
      <w:r>
        <w:rPr>
          <w:b/>
          <w:bCs/>
        </w:rPr>
        <w:t>Pour la détermination du degré de maîtrise, il sera tenu compte des critères suivants :</w:t>
      </w:r>
    </w:p>
    <w:p w:rsidR="00AC085E" w:rsidRDefault="00000000">
      <w:pPr>
        <w:numPr>
          <w:ilvl w:val="0"/>
          <w:numId w:val="1"/>
        </w:numPr>
        <w:tabs>
          <w:tab w:val="num" w:pos="851"/>
        </w:tabs>
        <w:autoSpaceDE w:val="0"/>
        <w:autoSpaceDN w:val="0"/>
        <w:spacing w:after="120"/>
        <w:ind w:left="851" w:right="-143" w:hanging="425"/>
        <w:jc w:val="both"/>
        <w:rPr>
          <w:szCs w:val="22"/>
        </w:rPr>
      </w:pPr>
      <w:r>
        <w:rPr>
          <w:szCs w:val="22"/>
        </w:rPr>
        <w:t>le niveau d’organisation et de dextérité : la capacité d’organisation de l’environnement spatial et matériel propre au soin, la maitrise gestuelle,</w:t>
      </w:r>
    </w:p>
    <w:p w:rsidR="00AC085E" w:rsidRDefault="00000000">
      <w:pPr>
        <w:numPr>
          <w:ilvl w:val="0"/>
          <w:numId w:val="1"/>
        </w:numPr>
        <w:tabs>
          <w:tab w:val="num" w:pos="851"/>
        </w:tabs>
        <w:autoSpaceDE w:val="0"/>
        <w:autoSpaceDN w:val="0"/>
        <w:spacing w:after="120"/>
        <w:ind w:left="851" w:right="-143" w:hanging="425"/>
        <w:jc w:val="both"/>
        <w:rPr>
          <w:szCs w:val="22"/>
        </w:rPr>
      </w:pPr>
      <w:r>
        <w:rPr>
          <w:szCs w:val="22"/>
        </w:rPr>
        <w:t>le niveau de précision : la clarté, la concision, la rigueur au niveau de la terminologie, des concepts et des techniques/principes d’examen,</w:t>
      </w:r>
    </w:p>
    <w:p w:rsidR="00AC085E" w:rsidRDefault="00000000">
      <w:pPr>
        <w:numPr>
          <w:ilvl w:val="0"/>
          <w:numId w:val="1"/>
        </w:numPr>
        <w:tabs>
          <w:tab w:val="num" w:pos="851"/>
        </w:tabs>
        <w:autoSpaceDE w:val="0"/>
        <w:autoSpaceDN w:val="0"/>
        <w:spacing w:after="120"/>
        <w:ind w:left="851" w:right="-143" w:hanging="425"/>
        <w:jc w:val="both"/>
        <w:rPr>
          <w:szCs w:val="22"/>
        </w:rPr>
      </w:pPr>
      <w:r>
        <w:rPr>
          <w:szCs w:val="22"/>
        </w:rPr>
        <w:t>le niveau de cohérence : la capacité à établir une majorité de liens logiques pour former un ensemble organisé,</w:t>
      </w:r>
    </w:p>
    <w:p w:rsidR="00AC085E" w:rsidRDefault="00000000">
      <w:pPr>
        <w:numPr>
          <w:ilvl w:val="0"/>
          <w:numId w:val="1"/>
        </w:numPr>
        <w:tabs>
          <w:tab w:val="num" w:pos="851"/>
        </w:tabs>
        <w:autoSpaceDE w:val="0"/>
        <w:autoSpaceDN w:val="0"/>
        <w:spacing w:after="120"/>
        <w:ind w:left="851" w:right="-143" w:hanging="425"/>
        <w:jc w:val="both"/>
        <w:rPr>
          <w:szCs w:val="22"/>
        </w:rPr>
      </w:pPr>
      <w:r>
        <w:rPr>
          <w:szCs w:val="22"/>
        </w:rPr>
        <w:t>le niveau d’intégration : la capacité à s’approprier des notions, concepts, techniques et démarches en les intégrant dans son analyse, son argumentation, sa pratique ou la recherche de solutions.</w:t>
      </w:r>
    </w:p>
    <w:p w:rsidR="00AC085E" w:rsidRDefault="00AC085E">
      <w:pPr>
        <w:spacing w:after="120"/>
        <w:jc w:val="both"/>
        <w:rPr>
          <w:szCs w:val="22"/>
        </w:rPr>
      </w:pPr>
    </w:p>
    <w:p w:rsidR="00AC085E" w:rsidRDefault="00000000">
      <w:pPr>
        <w:tabs>
          <w:tab w:val="left" w:pos="426"/>
        </w:tabs>
        <w:spacing w:after="120"/>
        <w:jc w:val="both"/>
        <w:rPr>
          <w:b/>
          <w:szCs w:val="22"/>
        </w:rPr>
      </w:pPr>
      <w:r>
        <w:rPr>
          <w:b/>
          <w:szCs w:val="22"/>
        </w:rPr>
        <w:t>4.</w:t>
      </w:r>
      <w:r>
        <w:rPr>
          <w:b/>
          <w:szCs w:val="22"/>
        </w:rPr>
        <w:tab/>
        <w:t>PROGRAMME</w:t>
      </w:r>
    </w:p>
    <w:p w:rsidR="00AC085E" w:rsidRDefault="00000000">
      <w:pPr>
        <w:spacing w:after="120"/>
        <w:ind w:left="709" w:hanging="283"/>
        <w:jc w:val="both"/>
        <w:rPr>
          <w:szCs w:val="22"/>
        </w:rPr>
      </w:pPr>
      <w:r>
        <w:rPr>
          <w:szCs w:val="22"/>
        </w:rPr>
        <w:t>L'étudiant sera capable :</w:t>
      </w:r>
    </w:p>
    <w:p w:rsidR="00AC085E" w:rsidRDefault="00000000">
      <w:pPr>
        <w:spacing w:after="120"/>
        <w:ind w:left="426"/>
        <w:jc w:val="both"/>
        <w:rPr>
          <w:i/>
          <w:iCs/>
        </w:rPr>
      </w:pPr>
      <w:r>
        <w:rPr>
          <w:i/>
          <w:iCs/>
        </w:rPr>
        <w:t>face à des situations professionnelles en ophtalmologie,</w:t>
      </w:r>
    </w:p>
    <w:p w:rsidR="00AC085E" w:rsidRDefault="00000000">
      <w:pPr>
        <w:spacing w:after="120"/>
        <w:ind w:left="426"/>
        <w:jc w:val="both"/>
        <w:rPr>
          <w:b/>
          <w:bCs/>
        </w:rPr>
      </w:pPr>
      <w:r>
        <w:rPr>
          <w:i/>
          <w:iCs/>
        </w:rPr>
        <w:t>en disposant des documents, des instruments et du matériel nécessaires,</w:t>
      </w:r>
    </w:p>
    <w:p w:rsidR="00AC085E" w:rsidRDefault="00000000">
      <w:pPr>
        <w:spacing w:after="120"/>
        <w:ind w:left="425"/>
        <w:jc w:val="both"/>
        <w:rPr>
          <w:b/>
          <w:bCs/>
        </w:rPr>
      </w:pPr>
      <w:r>
        <w:rPr>
          <w:b/>
          <w:bCs/>
        </w:rPr>
        <w:t>4.1. Laboratoire d’hygiène et de travail stérile</w:t>
      </w:r>
    </w:p>
    <w:p w:rsidR="00AC085E" w:rsidRDefault="00000000">
      <w:pPr>
        <w:pStyle w:val="Paragraphedeliste"/>
        <w:numPr>
          <w:ilvl w:val="0"/>
          <w:numId w:val="21"/>
        </w:numPr>
        <w:spacing w:after="120"/>
        <w:jc w:val="both"/>
        <w:rPr>
          <w:sz w:val="22"/>
          <w:szCs w:val="22"/>
        </w:rPr>
      </w:pPr>
      <w:r>
        <w:rPr>
          <w:sz w:val="22"/>
          <w:szCs w:val="22"/>
        </w:rPr>
        <w:t>de caractériser les sites et les modes d’action des différents agents nettoyants, désinfectants, stérilisants et d’expliquer les étapes requises pour ces processus ;</w:t>
      </w:r>
    </w:p>
    <w:p w:rsidR="00AC085E" w:rsidRDefault="00000000">
      <w:pPr>
        <w:pStyle w:val="Paragraphedeliste"/>
        <w:numPr>
          <w:ilvl w:val="0"/>
          <w:numId w:val="21"/>
        </w:numPr>
        <w:spacing w:after="120"/>
        <w:jc w:val="both"/>
        <w:rPr>
          <w:sz w:val="22"/>
          <w:szCs w:val="22"/>
        </w:rPr>
      </w:pPr>
      <w:r>
        <w:rPr>
          <w:sz w:val="22"/>
          <w:szCs w:val="22"/>
        </w:rPr>
        <w:t>d’expliquer les notions relatives à l’asepsie et l’hygiène : infections associées aux soins oculaires, infections nosocomiales, épidémies infectieuses, transmission des infections, prévention, effets iatrogènes … ;</w:t>
      </w:r>
    </w:p>
    <w:p w:rsidR="00AC085E" w:rsidRDefault="00000000">
      <w:pPr>
        <w:pStyle w:val="Paragraphedeliste"/>
        <w:numPr>
          <w:ilvl w:val="0"/>
          <w:numId w:val="21"/>
        </w:numPr>
        <w:spacing w:after="120"/>
        <w:jc w:val="both"/>
        <w:rPr>
          <w:sz w:val="22"/>
          <w:szCs w:val="22"/>
          <w:lang w:eastAsia="fr-BE"/>
        </w:rPr>
      </w:pPr>
      <w:r>
        <w:rPr>
          <w:sz w:val="22"/>
          <w:szCs w:val="22"/>
        </w:rPr>
        <w:t>d’expliquer le tri et le circuit des déchets (objets piquants, coupants, tranchants, compresses, emballages ...) ainsi que leurs impacts sur l'environnement notamment dans le processus de développement durable ;</w:t>
      </w:r>
    </w:p>
    <w:p w:rsidR="00AC085E" w:rsidRDefault="00000000">
      <w:pPr>
        <w:pStyle w:val="Paragraphedeliste"/>
        <w:numPr>
          <w:ilvl w:val="0"/>
          <w:numId w:val="21"/>
        </w:numPr>
        <w:spacing w:after="120"/>
        <w:jc w:val="both"/>
        <w:rPr>
          <w:sz w:val="22"/>
          <w:szCs w:val="22"/>
        </w:rPr>
      </w:pPr>
      <w:r>
        <w:rPr>
          <w:sz w:val="22"/>
          <w:szCs w:val="22"/>
        </w:rPr>
        <w:t>d’énoncer les éléments de prévention et la conduite à tenir en cas d’accidents exposant au sang ;</w:t>
      </w:r>
    </w:p>
    <w:p w:rsidR="00AC085E" w:rsidRDefault="00000000">
      <w:pPr>
        <w:pStyle w:val="Paragraphedeliste"/>
        <w:numPr>
          <w:ilvl w:val="0"/>
          <w:numId w:val="21"/>
        </w:numPr>
        <w:spacing w:after="120"/>
        <w:jc w:val="both"/>
        <w:rPr>
          <w:sz w:val="22"/>
          <w:szCs w:val="22"/>
        </w:rPr>
      </w:pPr>
      <w:r>
        <w:rPr>
          <w:sz w:val="22"/>
          <w:szCs w:val="22"/>
        </w:rPr>
        <w:t>d’expliquer et de mettre en œuvre les règles d’hygiène et de prévention requises pour un travail en service d’ophtalmologie et pour un travail stérile en chirurgie ophtalmique.</w:t>
      </w:r>
    </w:p>
    <w:p w:rsidR="00AC085E" w:rsidRDefault="00000000">
      <w:pPr>
        <w:rPr>
          <w:szCs w:val="22"/>
        </w:rPr>
      </w:pPr>
      <w:r>
        <w:rPr>
          <w:szCs w:val="22"/>
        </w:rPr>
        <w:br w:type="page"/>
      </w:r>
    </w:p>
    <w:p w:rsidR="00AC085E" w:rsidRDefault="00000000">
      <w:pPr>
        <w:spacing w:after="120"/>
        <w:ind w:left="425"/>
        <w:jc w:val="both"/>
        <w:rPr>
          <w:b/>
          <w:bCs/>
        </w:rPr>
      </w:pPr>
      <w:r>
        <w:rPr>
          <w:b/>
          <w:bCs/>
        </w:rPr>
        <w:lastRenderedPageBreak/>
        <w:t>4.2. Pharmacologie spécifique à l’ophtalmologie</w:t>
      </w:r>
    </w:p>
    <w:p w:rsidR="00AC085E" w:rsidRDefault="00000000">
      <w:pPr>
        <w:tabs>
          <w:tab w:val="left" w:pos="993"/>
        </w:tabs>
        <w:spacing w:after="120"/>
        <w:ind w:left="851"/>
        <w:jc w:val="both"/>
        <w:rPr>
          <w:i/>
          <w:iCs/>
        </w:rPr>
      </w:pPr>
      <w:r>
        <w:rPr>
          <w:i/>
          <w:iCs/>
        </w:rPr>
        <w:t>face à des documents (notices, articles technico-scientifiques, situations exemplatives, posologies,...),</w:t>
      </w:r>
    </w:p>
    <w:p w:rsidR="00AC085E" w:rsidRDefault="00000000">
      <w:pPr>
        <w:pStyle w:val="Paragraphedeliste"/>
        <w:numPr>
          <w:ilvl w:val="0"/>
          <w:numId w:val="21"/>
        </w:numPr>
        <w:spacing w:after="120"/>
        <w:jc w:val="both"/>
        <w:rPr>
          <w:sz w:val="22"/>
          <w:szCs w:val="22"/>
        </w:rPr>
      </w:pPr>
      <w:r>
        <w:rPr>
          <w:sz w:val="22"/>
          <w:szCs w:val="22"/>
        </w:rPr>
        <w:t>de décrire les collyres : leur composition, mode d’instillation, conservation, dénaturation, action prolongée, leur bon usage … ;</w:t>
      </w:r>
    </w:p>
    <w:p w:rsidR="00AC085E" w:rsidRDefault="00000000">
      <w:pPr>
        <w:pStyle w:val="Paragraphedeliste"/>
        <w:numPr>
          <w:ilvl w:val="0"/>
          <w:numId w:val="21"/>
        </w:numPr>
        <w:spacing w:after="120"/>
        <w:jc w:val="both"/>
        <w:rPr>
          <w:sz w:val="22"/>
          <w:szCs w:val="22"/>
        </w:rPr>
      </w:pPr>
      <w:r>
        <w:rPr>
          <w:sz w:val="22"/>
          <w:szCs w:val="22"/>
        </w:rPr>
        <w:t>d’identifier et de différencier les classes de médicaments ophtalmiques et les substances possédant des propriétés curatives ou préventives pour une maladie (indications, contre-indications, modes d’action, posologie, propriétés et caractéristiques, effets secondaires ...) :</w:t>
      </w:r>
    </w:p>
    <w:p w:rsidR="00AC085E" w:rsidRDefault="00000000">
      <w:pPr>
        <w:pStyle w:val="Paragraphedeliste"/>
        <w:numPr>
          <w:ilvl w:val="1"/>
          <w:numId w:val="16"/>
        </w:numPr>
        <w:tabs>
          <w:tab w:val="num" w:pos="1701"/>
        </w:tabs>
        <w:spacing w:after="120"/>
        <w:ind w:left="1701" w:hanging="425"/>
        <w:jc w:val="both"/>
        <w:rPr>
          <w:sz w:val="22"/>
          <w:szCs w:val="22"/>
        </w:rPr>
      </w:pPr>
      <w:r>
        <w:rPr>
          <w:sz w:val="22"/>
          <w:szCs w:val="22"/>
        </w:rPr>
        <w:t>les anesthésiques locaux,</w:t>
      </w:r>
    </w:p>
    <w:p w:rsidR="00AC085E" w:rsidRDefault="00000000">
      <w:pPr>
        <w:pStyle w:val="Paragraphedeliste"/>
        <w:numPr>
          <w:ilvl w:val="1"/>
          <w:numId w:val="16"/>
        </w:numPr>
        <w:tabs>
          <w:tab w:val="num" w:pos="1701"/>
        </w:tabs>
        <w:spacing w:after="120"/>
        <w:ind w:left="1701" w:hanging="425"/>
        <w:jc w:val="both"/>
        <w:rPr>
          <w:sz w:val="22"/>
          <w:szCs w:val="22"/>
        </w:rPr>
      </w:pPr>
      <w:r>
        <w:rPr>
          <w:sz w:val="22"/>
          <w:szCs w:val="22"/>
        </w:rPr>
        <w:t>les larmes artificielles,</w:t>
      </w:r>
    </w:p>
    <w:p w:rsidR="00AC085E" w:rsidRDefault="00000000">
      <w:pPr>
        <w:pStyle w:val="Paragraphedeliste"/>
        <w:numPr>
          <w:ilvl w:val="1"/>
          <w:numId w:val="16"/>
        </w:numPr>
        <w:tabs>
          <w:tab w:val="num" w:pos="1701"/>
        </w:tabs>
        <w:spacing w:after="120"/>
        <w:ind w:left="1701" w:hanging="425"/>
        <w:jc w:val="both"/>
        <w:rPr>
          <w:sz w:val="22"/>
          <w:szCs w:val="22"/>
        </w:rPr>
      </w:pPr>
      <w:r>
        <w:rPr>
          <w:sz w:val="22"/>
          <w:szCs w:val="22"/>
        </w:rPr>
        <w:t>les agents diagnostic en ophtalmologie,</w:t>
      </w:r>
    </w:p>
    <w:p w:rsidR="00AC085E" w:rsidRDefault="00000000">
      <w:pPr>
        <w:pStyle w:val="Paragraphedeliste"/>
        <w:numPr>
          <w:ilvl w:val="1"/>
          <w:numId w:val="16"/>
        </w:numPr>
        <w:tabs>
          <w:tab w:val="num" w:pos="1701"/>
        </w:tabs>
        <w:spacing w:after="120"/>
        <w:ind w:left="1701" w:hanging="425"/>
        <w:jc w:val="both"/>
        <w:rPr>
          <w:sz w:val="22"/>
          <w:szCs w:val="22"/>
        </w:rPr>
      </w:pPr>
      <w:r>
        <w:rPr>
          <w:sz w:val="22"/>
          <w:szCs w:val="22"/>
        </w:rPr>
        <w:t>les médicaments ou solutions utilisés en chirurgie oculaire,</w:t>
      </w:r>
    </w:p>
    <w:p w:rsidR="00AC085E" w:rsidRDefault="00000000">
      <w:pPr>
        <w:pStyle w:val="Paragraphedeliste"/>
        <w:numPr>
          <w:ilvl w:val="1"/>
          <w:numId w:val="16"/>
        </w:numPr>
        <w:tabs>
          <w:tab w:val="num" w:pos="1701"/>
        </w:tabs>
        <w:spacing w:after="120"/>
        <w:ind w:left="1701" w:hanging="425"/>
        <w:jc w:val="both"/>
        <w:rPr>
          <w:sz w:val="22"/>
          <w:szCs w:val="22"/>
        </w:rPr>
      </w:pPr>
      <w:r>
        <w:rPr>
          <w:sz w:val="22"/>
          <w:szCs w:val="22"/>
        </w:rPr>
        <w:t>les médicaments utilisés dans les pathologies oculaires ;</w:t>
      </w:r>
    </w:p>
    <w:p w:rsidR="00AC085E" w:rsidRDefault="00000000">
      <w:pPr>
        <w:pStyle w:val="Paragraphedeliste"/>
        <w:numPr>
          <w:ilvl w:val="0"/>
          <w:numId w:val="21"/>
        </w:numPr>
        <w:spacing w:after="120"/>
        <w:jc w:val="both"/>
        <w:rPr>
          <w:sz w:val="22"/>
          <w:szCs w:val="22"/>
        </w:rPr>
      </w:pPr>
      <w:r>
        <w:rPr>
          <w:sz w:val="22"/>
          <w:szCs w:val="22"/>
        </w:rPr>
        <w:t>de décrire la toxicité oculaire des médications ;</w:t>
      </w:r>
    </w:p>
    <w:p w:rsidR="00AC085E" w:rsidRDefault="00000000">
      <w:pPr>
        <w:pStyle w:val="Paragraphedeliste"/>
        <w:numPr>
          <w:ilvl w:val="0"/>
          <w:numId w:val="21"/>
        </w:numPr>
        <w:spacing w:after="120"/>
        <w:jc w:val="both"/>
        <w:rPr>
          <w:sz w:val="22"/>
          <w:szCs w:val="22"/>
        </w:rPr>
      </w:pPr>
      <w:r>
        <w:rPr>
          <w:sz w:val="22"/>
          <w:szCs w:val="22"/>
        </w:rPr>
        <w:t>d’interpréter une source documentaire (Notice, Vidal, Compendium, …) à usage spécifique.</w:t>
      </w:r>
    </w:p>
    <w:p w:rsidR="00AC085E" w:rsidRDefault="00000000">
      <w:pPr>
        <w:spacing w:after="120"/>
        <w:ind w:left="426"/>
        <w:jc w:val="both"/>
        <w:rPr>
          <w:b/>
          <w:bCs/>
        </w:rPr>
      </w:pPr>
      <w:r>
        <w:rPr>
          <w:b/>
          <w:bCs/>
        </w:rPr>
        <w:t>4.3. Laboratoire d’assistance en ophtalmologie et d’instrumentation en chirurgie ophtalmique</w:t>
      </w:r>
    </w:p>
    <w:p w:rsidR="00AC085E" w:rsidRDefault="00000000">
      <w:pPr>
        <w:numPr>
          <w:ilvl w:val="0"/>
          <w:numId w:val="2"/>
        </w:numPr>
        <w:tabs>
          <w:tab w:val="num" w:pos="1134"/>
          <w:tab w:val="num" w:pos="1494"/>
        </w:tabs>
        <w:spacing w:after="120"/>
        <w:ind w:left="1134" w:hanging="283"/>
        <w:jc w:val="both"/>
      </w:pPr>
      <w:r>
        <w:rPr>
          <w:szCs w:val="22"/>
        </w:rPr>
        <w:t xml:space="preserve">de sélectionner, de justifier et de réaliser le ou les examen(s) dans le cadre d’une exploration fonctionnelle ou structurelle de l’œil et du système visuel, adapté(s) à la situation clinique </w:t>
      </w:r>
      <w:r>
        <w:t>en se basant sur leurs objectifs, leurs spécificités et leurs procédures ;</w:t>
      </w:r>
    </w:p>
    <w:p w:rsidR="00AC085E" w:rsidRDefault="00000000">
      <w:pPr>
        <w:pStyle w:val="Paragraphedeliste"/>
        <w:numPr>
          <w:ilvl w:val="0"/>
          <w:numId w:val="2"/>
        </w:numPr>
        <w:spacing w:after="120"/>
        <w:ind w:right="57"/>
        <w:jc w:val="both"/>
        <w:rPr>
          <w:sz w:val="22"/>
          <w:szCs w:val="22"/>
        </w:rPr>
      </w:pPr>
      <w:r>
        <w:rPr>
          <w:sz w:val="22"/>
          <w:szCs w:val="22"/>
        </w:rPr>
        <w:t>de réaliser le recueil des informations utiles au bon déroulement de l'examen ;</w:t>
      </w:r>
    </w:p>
    <w:p w:rsidR="00AC085E" w:rsidRDefault="00000000">
      <w:pPr>
        <w:pStyle w:val="Paragraphedeliste"/>
        <w:numPr>
          <w:ilvl w:val="0"/>
          <w:numId w:val="2"/>
        </w:numPr>
        <w:spacing w:after="120"/>
        <w:ind w:right="57"/>
        <w:jc w:val="both"/>
        <w:rPr>
          <w:sz w:val="22"/>
          <w:szCs w:val="22"/>
        </w:rPr>
      </w:pPr>
      <w:r>
        <w:rPr>
          <w:sz w:val="22"/>
          <w:szCs w:val="22"/>
        </w:rPr>
        <w:t>d’administrer si besoin le collyre nécessaire à la réalisation de l’examen et en respect des indications et attentes de l’ophtalmologiste ;</w:t>
      </w:r>
    </w:p>
    <w:p w:rsidR="00AC085E" w:rsidRDefault="00000000">
      <w:pPr>
        <w:numPr>
          <w:ilvl w:val="0"/>
          <w:numId w:val="2"/>
        </w:numPr>
        <w:tabs>
          <w:tab w:val="num" w:pos="1134"/>
          <w:tab w:val="num" w:pos="1494"/>
        </w:tabs>
        <w:spacing w:after="120"/>
        <w:ind w:left="1134" w:hanging="283"/>
        <w:jc w:val="both"/>
      </w:pPr>
      <w:r>
        <w:rPr>
          <w:lang w:eastAsia="fr-BE"/>
        </w:rPr>
        <w:t>de mettre en œuvre les conditions précises de réalisation de ces examens (installation du patient, facteurs entrant en jeu pour une bonne réalisation, règles d’hygiène et de        sécurité …) ;</w:t>
      </w:r>
    </w:p>
    <w:p w:rsidR="00AC085E" w:rsidRDefault="00000000">
      <w:pPr>
        <w:numPr>
          <w:ilvl w:val="0"/>
          <w:numId w:val="2"/>
        </w:numPr>
        <w:tabs>
          <w:tab w:val="num" w:pos="1134"/>
          <w:tab w:val="num" w:pos="1494"/>
        </w:tabs>
        <w:spacing w:after="120"/>
        <w:ind w:left="1134" w:hanging="283"/>
        <w:jc w:val="both"/>
      </w:pPr>
      <w:r>
        <w:t>de décrire les résultats normaux attendus ainsi que les résultats anormaux liés à certaines pathologies de l’œil ou du système visuel et de formuler un pré-diagnostic dans une perspective de dépistage ;</w:t>
      </w:r>
    </w:p>
    <w:p w:rsidR="00AC085E" w:rsidRDefault="00000000">
      <w:pPr>
        <w:numPr>
          <w:ilvl w:val="0"/>
          <w:numId w:val="2"/>
        </w:numPr>
        <w:tabs>
          <w:tab w:val="num" w:pos="1134"/>
          <w:tab w:val="num" w:pos="1494"/>
        </w:tabs>
        <w:spacing w:after="120"/>
        <w:ind w:left="1134" w:hanging="283"/>
        <w:jc w:val="both"/>
      </w:pPr>
      <w:r>
        <w:t>d’expliquer</w:t>
      </w:r>
      <w:r>
        <w:rPr>
          <w:szCs w:val="22"/>
        </w:rPr>
        <w:t xml:space="preserve"> les aides (usage d’un protocole) et les actes techniques pouvant être apportés par l’optométriste ou l’orthoptiste en chirurgie ophtalmique ;</w:t>
      </w:r>
    </w:p>
    <w:p w:rsidR="00AC085E" w:rsidRDefault="00000000">
      <w:pPr>
        <w:pStyle w:val="Paragraphedeliste"/>
        <w:numPr>
          <w:ilvl w:val="0"/>
          <w:numId w:val="23"/>
        </w:numPr>
        <w:spacing w:after="120"/>
        <w:ind w:left="1276" w:right="57" w:hanging="425"/>
        <w:jc w:val="both"/>
        <w:rPr>
          <w:sz w:val="22"/>
          <w:szCs w:val="22"/>
        </w:rPr>
      </w:pPr>
      <w:r>
        <w:rPr>
          <w:sz w:val="22"/>
          <w:szCs w:val="22"/>
        </w:rPr>
        <w:t>d’élaborer une communication des résultats à destination d’un professionnel de la santé.</w:t>
      </w:r>
    </w:p>
    <w:p w:rsidR="00AC085E" w:rsidRDefault="00000000">
      <w:pPr>
        <w:rPr>
          <w:szCs w:val="22"/>
        </w:rPr>
      </w:pPr>
      <w:r>
        <w:rPr>
          <w:szCs w:val="22"/>
        </w:rPr>
        <w:br w:type="page"/>
      </w:r>
    </w:p>
    <w:p w:rsidR="00AC085E" w:rsidRDefault="00000000">
      <w:pPr>
        <w:tabs>
          <w:tab w:val="left" w:pos="426"/>
        </w:tabs>
        <w:spacing w:after="120"/>
        <w:jc w:val="both"/>
        <w:rPr>
          <w:b/>
          <w:szCs w:val="22"/>
        </w:rPr>
      </w:pPr>
      <w:r>
        <w:rPr>
          <w:b/>
          <w:szCs w:val="22"/>
        </w:rPr>
        <w:lastRenderedPageBreak/>
        <w:t>5.</w:t>
      </w:r>
      <w:r>
        <w:rPr>
          <w:b/>
          <w:szCs w:val="22"/>
        </w:rPr>
        <w:tab/>
      </w:r>
      <w:r>
        <w:rPr>
          <w:b/>
          <w:caps/>
          <w:szCs w:val="22"/>
        </w:rPr>
        <w:t>Constitution des groupes ou regroupement</w:t>
      </w:r>
    </w:p>
    <w:p w:rsidR="00AC085E" w:rsidRDefault="00000000">
      <w:pPr>
        <w:spacing w:after="120"/>
        <w:ind w:left="426"/>
        <w:jc w:val="both"/>
        <w:rPr>
          <w:szCs w:val="22"/>
        </w:rPr>
      </w:pPr>
      <w:r>
        <w:rPr>
          <w:szCs w:val="22"/>
        </w:rPr>
        <w:t xml:space="preserve">Pour les activités d’enseignement « Laboratoire </w:t>
      </w:r>
      <w:r>
        <w:t>d’hygiène et de travail stérile</w:t>
      </w:r>
      <w:r>
        <w:rPr>
          <w:szCs w:val="22"/>
        </w:rPr>
        <w:t xml:space="preserve"> » et « Laboratoire </w:t>
      </w:r>
      <w:r>
        <w:t>d’assistance en ophtalmologie et d’instrumentation en chirurgie ophtalmique</w:t>
      </w:r>
      <w:r>
        <w:rPr>
          <w:szCs w:val="22"/>
        </w:rPr>
        <w:t> », il est recommandé de ne pas dépasser trois étudiants par poste de travail.</w:t>
      </w:r>
    </w:p>
    <w:p w:rsidR="00AC085E" w:rsidRDefault="00AC085E">
      <w:pPr>
        <w:spacing w:after="120"/>
        <w:ind w:left="567" w:hanging="141"/>
        <w:jc w:val="both"/>
        <w:rPr>
          <w:szCs w:val="22"/>
        </w:rPr>
      </w:pPr>
    </w:p>
    <w:p w:rsidR="00AC085E" w:rsidRDefault="00000000">
      <w:pPr>
        <w:tabs>
          <w:tab w:val="left" w:pos="426"/>
        </w:tabs>
        <w:spacing w:after="120"/>
        <w:jc w:val="both"/>
        <w:rPr>
          <w:b/>
          <w:szCs w:val="22"/>
        </w:rPr>
      </w:pPr>
      <w:r>
        <w:rPr>
          <w:b/>
          <w:szCs w:val="22"/>
        </w:rPr>
        <w:t>6.</w:t>
      </w:r>
      <w:r>
        <w:rPr>
          <w:b/>
          <w:szCs w:val="22"/>
        </w:rPr>
        <w:tab/>
        <w:t>CHARGE(S) DE COURS</w:t>
      </w:r>
    </w:p>
    <w:p w:rsidR="00AC085E" w:rsidRDefault="00000000">
      <w:pPr>
        <w:spacing w:after="120"/>
        <w:ind w:left="426"/>
        <w:jc w:val="both"/>
        <w:rPr>
          <w:szCs w:val="22"/>
        </w:rPr>
      </w:pPr>
      <w:r>
        <w:rPr>
          <w:szCs w:val="22"/>
        </w:rPr>
        <w:t>Le chargé de cours sera un enseignant ou un expert.</w:t>
      </w:r>
    </w:p>
    <w:p w:rsidR="00AC085E" w:rsidRDefault="00000000">
      <w:pPr>
        <w:spacing w:after="120"/>
        <w:ind w:left="426"/>
        <w:jc w:val="both"/>
        <w:rPr>
          <w:szCs w:val="22"/>
        </w:rPr>
      </w:pPr>
      <w:r>
        <w:rPr>
          <w:szCs w:val="22"/>
        </w:rPr>
        <w:t>L’expert devra justifier de compétences particulières issues d’une expérience professionnelle actualisée en relation avec la charge de cours qui lui est attribuée.</w:t>
      </w:r>
    </w:p>
    <w:p w:rsidR="00AC085E" w:rsidRDefault="00AC085E">
      <w:pPr>
        <w:spacing w:after="120"/>
        <w:jc w:val="both"/>
        <w:rPr>
          <w:szCs w:val="22"/>
        </w:rPr>
      </w:pPr>
    </w:p>
    <w:p w:rsidR="00AC085E" w:rsidRDefault="00000000">
      <w:pPr>
        <w:tabs>
          <w:tab w:val="left" w:pos="426"/>
        </w:tabs>
        <w:spacing w:after="120"/>
        <w:jc w:val="both"/>
        <w:rPr>
          <w:b/>
          <w:szCs w:val="22"/>
        </w:rPr>
      </w:pPr>
      <w:r>
        <w:rPr>
          <w:b/>
          <w:szCs w:val="22"/>
        </w:rPr>
        <w:t>7.</w:t>
      </w:r>
      <w:r>
        <w:rPr>
          <w:b/>
          <w:szCs w:val="22"/>
        </w:rPr>
        <w:tab/>
        <w:t>HORAIRE MINIMUM DE L’UNITE D’ENSEIGNEMENT</w:t>
      </w:r>
    </w:p>
    <w:p w:rsidR="00AC085E" w:rsidRDefault="00AC085E">
      <w:pPr>
        <w:ind w:left="426"/>
        <w:rPr>
          <w:b/>
        </w:rPr>
      </w:pPr>
    </w:p>
    <w:tbl>
      <w:tblPr>
        <w:tblW w:w="8930" w:type="dxa"/>
        <w:tblInd w:w="3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733"/>
        <w:gridCol w:w="1362"/>
        <w:gridCol w:w="992"/>
        <w:gridCol w:w="1843"/>
      </w:tblGrid>
      <w:tr w:rsidR="00AC085E">
        <w:tc>
          <w:tcPr>
            <w:tcW w:w="4733" w:type="dxa"/>
          </w:tcPr>
          <w:p w:rsidR="00AC085E" w:rsidRDefault="00AC085E">
            <w:pPr>
              <w:ind w:left="71"/>
              <w:rPr>
                <w:szCs w:val="22"/>
              </w:rPr>
            </w:pPr>
          </w:p>
          <w:p w:rsidR="00AC085E" w:rsidRDefault="00000000">
            <w:pPr>
              <w:pStyle w:val="Titre8"/>
              <w:ind w:hanging="71"/>
              <w:rPr>
                <w:sz w:val="22"/>
                <w:szCs w:val="22"/>
              </w:rPr>
            </w:pPr>
            <w:r>
              <w:rPr>
                <w:sz w:val="22"/>
                <w:szCs w:val="22"/>
              </w:rPr>
              <w:t>7.1. Dénomination des cours</w:t>
            </w:r>
          </w:p>
          <w:p w:rsidR="00AC085E" w:rsidRDefault="00AC085E">
            <w:pPr>
              <w:ind w:left="71"/>
              <w:rPr>
                <w:szCs w:val="22"/>
              </w:rPr>
            </w:pPr>
          </w:p>
        </w:tc>
        <w:tc>
          <w:tcPr>
            <w:tcW w:w="1362" w:type="dxa"/>
          </w:tcPr>
          <w:p w:rsidR="00AC085E" w:rsidRDefault="00AC085E">
            <w:pPr>
              <w:jc w:val="center"/>
              <w:rPr>
                <w:b/>
                <w:szCs w:val="22"/>
              </w:rPr>
            </w:pPr>
          </w:p>
          <w:p w:rsidR="00AC085E" w:rsidRDefault="00000000">
            <w:pPr>
              <w:jc w:val="center"/>
              <w:rPr>
                <w:b/>
                <w:szCs w:val="22"/>
              </w:rPr>
            </w:pPr>
            <w:r>
              <w:rPr>
                <w:b/>
                <w:szCs w:val="22"/>
              </w:rPr>
              <w:t>Classement des cours</w:t>
            </w:r>
          </w:p>
        </w:tc>
        <w:tc>
          <w:tcPr>
            <w:tcW w:w="992" w:type="dxa"/>
          </w:tcPr>
          <w:p w:rsidR="00AC085E" w:rsidRDefault="00AC085E">
            <w:pPr>
              <w:rPr>
                <w:b/>
                <w:szCs w:val="22"/>
              </w:rPr>
            </w:pPr>
          </w:p>
          <w:p w:rsidR="00AC085E" w:rsidRDefault="00000000">
            <w:pPr>
              <w:jc w:val="center"/>
              <w:rPr>
                <w:b/>
                <w:szCs w:val="22"/>
              </w:rPr>
            </w:pPr>
            <w:r>
              <w:rPr>
                <w:b/>
                <w:szCs w:val="22"/>
              </w:rPr>
              <w:t>Code U</w:t>
            </w:r>
          </w:p>
        </w:tc>
        <w:tc>
          <w:tcPr>
            <w:tcW w:w="1843" w:type="dxa"/>
          </w:tcPr>
          <w:p w:rsidR="00AC085E" w:rsidRDefault="00AC085E">
            <w:pPr>
              <w:jc w:val="center"/>
              <w:rPr>
                <w:b/>
                <w:szCs w:val="22"/>
              </w:rPr>
            </w:pPr>
          </w:p>
          <w:p w:rsidR="00AC085E" w:rsidRDefault="00000000">
            <w:pPr>
              <w:jc w:val="center"/>
              <w:rPr>
                <w:b/>
                <w:szCs w:val="22"/>
              </w:rPr>
            </w:pPr>
            <w:r>
              <w:rPr>
                <w:b/>
                <w:szCs w:val="22"/>
              </w:rPr>
              <w:t xml:space="preserve">Nombre de périodes </w:t>
            </w:r>
          </w:p>
        </w:tc>
      </w:tr>
      <w:tr w:rsidR="00AC085E">
        <w:tc>
          <w:tcPr>
            <w:tcW w:w="4733" w:type="dxa"/>
            <w:tcBorders>
              <w:bottom w:val="single" w:sz="4" w:space="0" w:color="auto"/>
            </w:tcBorders>
          </w:tcPr>
          <w:p w:rsidR="00AC085E" w:rsidRDefault="00000000">
            <w:r>
              <w:t>Laboratoire d’hygiène et de travail stérile</w:t>
            </w:r>
          </w:p>
        </w:tc>
        <w:tc>
          <w:tcPr>
            <w:tcW w:w="1362" w:type="dxa"/>
            <w:tcBorders>
              <w:bottom w:val="single" w:sz="4" w:space="0" w:color="auto"/>
            </w:tcBorders>
          </w:tcPr>
          <w:p w:rsidR="00AC085E" w:rsidRDefault="00000000">
            <w:pPr>
              <w:jc w:val="center"/>
            </w:pPr>
            <w:r>
              <w:t>CT</w:t>
            </w:r>
          </w:p>
        </w:tc>
        <w:tc>
          <w:tcPr>
            <w:tcW w:w="992" w:type="dxa"/>
            <w:tcBorders>
              <w:bottom w:val="single" w:sz="4" w:space="0" w:color="auto"/>
            </w:tcBorders>
          </w:tcPr>
          <w:p w:rsidR="00AC085E" w:rsidRDefault="00000000">
            <w:pPr>
              <w:jc w:val="center"/>
              <w:rPr>
                <w:szCs w:val="22"/>
              </w:rPr>
            </w:pPr>
            <w:r>
              <w:rPr>
                <w:szCs w:val="22"/>
              </w:rPr>
              <w:t>S</w:t>
            </w:r>
          </w:p>
        </w:tc>
        <w:tc>
          <w:tcPr>
            <w:tcW w:w="1843" w:type="dxa"/>
            <w:tcBorders>
              <w:bottom w:val="single" w:sz="4" w:space="0" w:color="auto"/>
            </w:tcBorders>
          </w:tcPr>
          <w:p w:rsidR="00AC085E" w:rsidRDefault="00000000">
            <w:pPr>
              <w:pStyle w:val="Notedebasdepage"/>
              <w:tabs>
                <w:tab w:val="right" w:pos="968"/>
              </w:tabs>
              <w:jc w:val="center"/>
            </w:pPr>
            <w:r>
              <w:t>14</w:t>
            </w:r>
          </w:p>
        </w:tc>
      </w:tr>
      <w:tr w:rsidR="00AC085E">
        <w:trPr>
          <w:trHeight w:val="300"/>
        </w:trPr>
        <w:tc>
          <w:tcPr>
            <w:tcW w:w="4733" w:type="dxa"/>
            <w:tcBorders>
              <w:top w:val="single" w:sz="4" w:space="0" w:color="auto"/>
              <w:bottom w:val="single" w:sz="4" w:space="0" w:color="auto"/>
            </w:tcBorders>
          </w:tcPr>
          <w:p w:rsidR="00AC085E" w:rsidRDefault="00000000">
            <w:r>
              <w:t>Pharmacologie spécifique à l’ophtalmologie</w:t>
            </w:r>
          </w:p>
        </w:tc>
        <w:tc>
          <w:tcPr>
            <w:tcW w:w="1362" w:type="dxa"/>
            <w:tcBorders>
              <w:top w:val="single" w:sz="4" w:space="0" w:color="auto"/>
              <w:bottom w:val="single" w:sz="4" w:space="0" w:color="auto"/>
            </w:tcBorders>
          </w:tcPr>
          <w:p w:rsidR="00AC085E" w:rsidRDefault="00000000">
            <w:pPr>
              <w:jc w:val="center"/>
              <w:rPr>
                <w:highlight w:val="yellow"/>
              </w:rPr>
            </w:pPr>
            <w:r>
              <w:t>CT</w:t>
            </w:r>
          </w:p>
        </w:tc>
        <w:tc>
          <w:tcPr>
            <w:tcW w:w="992" w:type="dxa"/>
            <w:tcBorders>
              <w:top w:val="single" w:sz="4" w:space="0" w:color="auto"/>
              <w:bottom w:val="single" w:sz="4" w:space="0" w:color="auto"/>
            </w:tcBorders>
          </w:tcPr>
          <w:p w:rsidR="00AC085E" w:rsidRDefault="00000000">
            <w:pPr>
              <w:jc w:val="center"/>
            </w:pPr>
            <w:r>
              <w:t>B</w:t>
            </w:r>
          </w:p>
        </w:tc>
        <w:tc>
          <w:tcPr>
            <w:tcW w:w="1843" w:type="dxa"/>
            <w:tcBorders>
              <w:top w:val="single" w:sz="4" w:space="0" w:color="auto"/>
              <w:bottom w:val="single" w:sz="4" w:space="0" w:color="auto"/>
            </w:tcBorders>
          </w:tcPr>
          <w:p w:rsidR="00AC085E" w:rsidRDefault="00000000">
            <w:pPr>
              <w:pStyle w:val="Notedebasdepage"/>
              <w:jc w:val="center"/>
            </w:pPr>
            <w:r>
              <w:t>20</w:t>
            </w:r>
          </w:p>
        </w:tc>
      </w:tr>
      <w:tr w:rsidR="00AC085E">
        <w:tc>
          <w:tcPr>
            <w:tcW w:w="4733" w:type="dxa"/>
            <w:tcBorders>
              <w:top w:val="single" w:sz="4" w:space="0" w:color="auto"/>
              <w:bottom w:val="single" w:sz="4" w:space="0" w:color="auto"/>
            </w:tcBorders>
          </w:tcPr>
          <w:p w:rsidR="00AC085E" w:rsidRDefault="00000000">
            <w:r>
              <w:t>Laboratoire d’assistance en ophtalmologie et d’instrumentation en chirurgie ophtalmique</w:t>
            </w:r>
          </w:p>
        </w:tc>
        <w:tc>
          <w:tcPr>
            <w:tcW w:w="1362" w:type="dxa"/>
            <w:tcBorders>
              <w:top w:val="single" w:sz="4" w:space="0" w:color="auto"/>
              <w:bottom w:val="single" w:sz="4" w:space="0" w:color="auto"/>
            </w:tcBorders>
          </w:tcPr>
          <w:p w:rsidR="00AC085E" w:rsidRDefault="00000000">
            <w:pPr>
              <w:jc w:val="center"/>
              <w:rPr>
                <w:szCs w:val="22"/>
              </w:rPr>
            </w:pPr>
            <w:r>
              <w:rPr>
                <w:szCs w:val="22"/>
              </w:rPr>
              <w:t>CT</w:t>
            </w:r>
          </w:p>
        </w:tc>
        <w:tc>
          <w:tcPr>
            <w:tcW w:w="992" w:type="dxa"/>
            <w:tcBorders>
              <w:top w:val="single" w:sz="4" w:space="0" w:color="auto"/>
              <w:bottom w:val="single" w:sz="4" w:space="0" w:color="auto"/>
            </w:tcBorders>
          </w:tcPr>
          <w:p w:rsidR="00AC085E" w:rsidRDefault="00000000">
            <w:pPr>
              <w:jc w:val="center"/>
              <w:rPr>
                <w:szCs w:val="22"/>
              </w:rPr>
            </w:pPr>
            <w:r>
              <w:rPr>
                <w:szCs w:val="22"/>
              </w:rPr>
              <w:t>S</w:t>
            </w:r>
          </w:p>
        </w:tc>
        <w:tc>
          <w:tcPr>
            <w:tcW w:w="1843" w:type="dxa"/>
            <w:tcBorders>
              <w:top w:val="single" w:sz="4" w:space="0" w:color="auto"/>
              <w:bottom w:val="single" w:sz="4" w:space="0" w:color="auto"/>
            </w:tcBorders>
          </w:tcPr>
          <w:p w:rsidR="00AC085E" w:rsidRDefault="00000000">
            <w:pPr>
              <w:pStyle w:val="Notedebasdepage"/>
              <w:tabs>
                <w:tab w:val="right" w:pos="968"/>
              </w:tabs>
              <w:jc w:val="center"/>
            </w:pPr>
            <w:r>
              <w:t>30</w:t>
            </w:r>
          </w:p>
        </w:tc>
      </w:tr>
      <w:tr w:rsidR="00AC085E">
        <w:trPr>
          <w:cantSplit/>
        </w:trPr>
        <w:tc>
          <w:tcPr>
            <w:tcW w:w="6095" w:type="dxa"/>
            <w:gridSpan w:val="2"/>
            <w:tcBorders>
              <w:top w:val="single" w:sz="4" w:space="0" w:color="auto"/>
              <w:bottom w:val="single" w:sz="12" w:space="0" w:color="auto"/>
              <w:right w:val="nil"/>
            </w:tcBorders>
          </w:tcPr>
          <w:p w:rsidR="00AC085E" w:rsidRDefault="00000000">
            <w:pPr>
              <w:pStyle w:val="Notedebasdepage"/>
              <w:rPr>
                <w:szCs w:val="22"/>
              </w:rPr>
            </w:pPr>
            <w:r>
              <w:rPr>
                <w:b/>
                <w:szCs w:val="22"/>
              </w:rPr>
              <w:t>7.2. Part d’autonomie</w:t>
            </w:r>
          </w:p>
        </w:tc>
        <w:tc>
          <w:tcPr>
            <w:tcW w:w="992" w:type="dxa"/>
            <w:tcBorders>
              <w:top w:val="single" w:sz="4" w:space="0" w:color="auto"/>
              <w:bottom w:val="single" w:sz="12" w:space="0" w:color="auto"/>
              <w:right w:val="nil"/>
            </w:tcBorders>
          </w:tcPr>
          <w:p w:rsidR="00AC085E" w:rsidRDefault="00000000">
            <w:pPr>
              <w:jc w:val="center"/>
              <w:rPr>
                <w:szCs w:val="22"/>
              </w:rPr>
            </w:pPr>
            <w:r>
              <w:rPr>
                <w:szCs w:val="22"/>
              </w:rPr>
              <w:t>P</w:t>
            </w:r>
          </w:p>
        </w:tc>
        <w:tc>
          <w:tcPr>
            <w:tcW w:w="1843" w:type="dxa"/>
            <w:tcBorders>
              <w:top w:val="single" w:sz="4" w:space="0" w:color="auto"/>
              <w:bottom w:val="single" w:sz="12" w:space="0" w:color="auto"/>
            </w:tcBorders>
          </w:tcPr>
          <w:p w:rsidR="00AC085E" w:rsidRDefault="00000000">
            <w:pPr>
              <w:pStyle w:val="Texte"/>
              <w:tabs>
                <w:tab w:val="right" w:pos="968"/>
              </w:tabs>
              <w:jc w:val="center"/>
              <w:rPr>
                <w:rFonts w:ascii="Times New Roman" w:hAnsi="Times New Roman"/>
                <w:noProof w:val="0"/>
                <w:szCs w:val="22"/>
              </w:rPr>
            </w:pPr>
            <w:r>
              <w:rPr>
                <w:rFonts w:ascii="Times New Roman" w:hAnsi="Times New Roman"/>
                <w:noProof w:val="0"/>
                <w:szCs w:val="22"/>
              </w:rPr>
              <w:t>16</w:t>
            </w:r>
          </w:p>
        </w:tc>
      </w:tr>
      <w:tr w:rsidR="00AC085E">
        <w:trPr>
          <w:cantSplit/>
        </w:trPr>
        <w:tc>
          <w:tcPr>
            <w:tcW w:w="7087" w:type="dxa"/>
            <w:gridSpan w:val="3"/>
            <w:tcBorders>
              <w:top w:val="single" w:sz="12" w:space="0" w:color="auto"/>
              <w:bottom w:val="single" w:sz="12" w:space="0" w:color="auto"/>
              <w:right w:val="nil"/>
            </w:tcBorders>
          </w:tcPr>
          <w:p w:rsidR="00AC085E" w:rsidRDefault="00000000">
            <w:pPr>
              <w:rPr>
                <w:b/>
                <w:szCs w:val="22"/>
              </w:rPr>
            </w:pPr>
            <w:r>
              <w:rPr>
                <w:b/>
                <w:szCs w:val="22"/>
              </w:rPr>
              <w:t>Total des périodes</w:t>
            </w:r>
          </w:p>
        </w:tc>
        <w:tc>
          <w:tcPr>
            <w:tcW w:w="1843" w:type="dxa"/>
            <w:tcBorders>
              <w:top w:val="single" w:sz="12" w:space="0" w:color="auto"/>
              <w:bottom w:val="single" w:sz="12" w:space="0" w:color="auto"/>
            </w:tcBorders>
          </w:tcPr>
          <w:p w:rsidR="00AC085E" w:rsidRDefault="00000000">
            <w:pPr>
              <w:pStyle w:val="Texte"/>
              <w:tabs>
                <w:tab w:val="right" w:pos="968"/>
              </w:tabs>
              <w:jc w:val="center"/>
              <w:rPr>
                <w:rFonts w:ascii="Times New Roman" w:hAnsi="Times New Roman"/>
                <w:b/>
                <w:noProof w:val="0"/>
                <w:szCs w:val="22"/>
              </w:rPr>
            </w:pPr>
            <w:r>
              <w:rPr>
                <w:rFonts w:ascii="Times New Roman" w:hAnsi="Times New Roman"/>
                <w:b/>
                <w:noProof w:val="0"/>
                <w:szCs w:val="22"/>
              </w:rPr>
              <w:t>80</w:t>
            </w:r>
          </w:p>
        </w:tc>
      </w:tr>
      <w:tr w:rsidR="00AC085E">
        <w:trPr>
          <w:cantSplit/>
        </w:trPr>
        <w:tc>
          <w:tcPr>
            <w:tcW w:w="7087" w:type="dxa"/>
            <w:gridSpan w:val="3"/>
            <w:tcBorders>
              <w:top w:val="single" w:sz="12" w:space="0" w:color="auto"/>
              <w:right w:val="nil"/>
            </w:tcBorders>
          </w:tcPr>
          <w:p w:rsidR="00AC085E" w:rsidRDefault="00000000">
            <w:pPr>
              <w:rPr>
                <w:b/>
                <w:szCs w:val="22"/>
              </w:rPr>
            </w:pPr>
            <w:r>
              <w:rPr>
                <w:b/>
                <w:szCs w:val="22"/>
              </w:rPr>
              <w:t>Nombre d’ECTS</w:t>
            </w:r>
          </w:p>
        </w:tc>
        <w:tc>
          <w:tcPr>
            <w:tcW w:w="1843" w:type="dxa"/>
            <w:tcBorders>
              <w:top w:val="single" w:sz="12" w:space="0" w:color="auto"/>
            </w:tcBorders>
          </w:tcPr>
          <w:p w:rsidR="00AC085E" w:rsidRDefault="00000000">
            <w:pPr>
              <w:pStyle w:val="Texte"/>
              <w:tabs>
                <w:tab w:val="right" w:pos="968"/>
              </w:tabs>
              <w:jc w:val="center"/>
              <w:rPr>
                <w:rFonts w:ascii="Times New Roman" w:hAnsi="Times New Roman"/>
                <w:b/>
                <w:noProof w:val="0"/>
                <w:szCs w:val="22"/>
              </w:rPr>
            </w:pPr>
            <w:r>
              <w:rPr>
                <w:rFonts w:ascii="Times New Roman" w:hAnsi="Times New Roman"/>
                <w:b/>
                <w:noProof w:val="0"/>
                <w:szCs w:val="22"/>
              </w:rPr>
              <w:t>6</w:t>
            </w:r>
          </w:p>
        </w:tc>
      </w:tr>
    </w:tbl>
    <w:p w:rsidR="00AC085E" w:rsidRDefault="00AC085E"/>
    <w:p w:rsidR="00AC085E" w:rsidRDefault="00AC085E"/>
    <w:sectPr w:rsidR="00AC085E">
      <w:footerReference w:type="default" r:id="rId11"/>
      <w:pgSz w:w="11907" w:h="16840"/>
      <w:pgMar w:top="851" w:right="1275" w:bottom="1418" w:left="1276" w:header="720" w:footer="89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2F64" w:rsidRDefault="00892F64">
      <w:r>
        <w:separator/>
      </w:r>
    </w:p>
  </w:endnote>
  <w:endnote w:type="continuationSeparator" w:id="0">
    <w:p w:rsidR="00892F64" w:rsidRDefault="0089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erif">
    <w:altName w:val="Cambria"/>
    <w:panose1 w:val="04000500000000000000"/>
    <w:charset w:val="4D"/>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085E" w:rsidRDefault="00000000">
    <w:pPr>
      <w:pStyle w:val="Pieddepage"/>
      <w:rPr>
        <w:color w:val="002060"/>
        <w:sz w:val="18"/>
        <w:szCs w:val="18"/>
      </w:rPr>
    </w:pPr>
    <w:r>
      <w:rPr>
        <w:color w:val="002060"/>
        <w:sz w:val="18"/>
        <w:szCs w:val="18"/>
        <w:lang w:val="fr-BE"/>
      </w:rPr>
      <w:t>Prestations techniques en ophtalmologie</w:t>
    </w:r>
    <w:r>
      <w:rPr>
        <w:color w:val="002060"/>
        <w:sz w:val="18"/>
        <w:szCs w:val="18"/>
        <w:lang w:val="fr-BE"/>
      </w:rPr>
      <w:tab/>
    </w:r>
    <w:r>
      <w:rPr>
        <w:color w:val="002060"/>
        <w:sz w:val="18"/>
        <w:szCs w:val="18"/>
        <w:lang w:val="fr-BE"/>
      </w:rPr>
      <w:tab/>
    </w:r>
    <w:r>
      <w:rPr>
        <w:color w:val="002060"/>
        <w:sz w:val="18"/>
        <w:szCs w:val="18"/>
      </w:rPr>
      <w:t xml:space="preserve">Page </w:t>
    </w:r>
    <w:r>
      <w:rPr>
        <w:bCs/>
        <w:color w:val="002060"/>
        <w:sz w:val="18"/>
        <w:szCs w:val="18"/>
      </w:rPr>
      <w:fldChar w:fldCharType="begin"/>
    </w:r>
    <w:r>
      <w:rPr>
        <w:bCs/>
        <w:color w:val="002060"/>
        <w:sz w:val="18"/>
        <w:szCs w:val="18"/>
      </w:rPr>
      <w:instrText>PAGE</w:instrText>
    </w:r>
    <w:r>
      <w:rPr>
        <w:bCs/>
        <w:color w:val="002060"/>
        <w:sz w:val="18"/>
        <w:szCs w:val="18"/>
      </w:rPr>
      <w:fldChar w:fldCharType="separate"/>
    </w:r>
    <w:r>
      <w:rPr>
        <w:bCs/>
        <w:noProof/>
        <w:color w:val="002060"/>
        <w:sz w:val="18"/>
        <w:szCs w:val="18"/>
      </w:rPr>
      <w:t>6</w:t>
    </w:r>
    <w:r>
      <w:rPr>
        <w:color w:val="002060"/>
        <w:sz w:val="18"/>
        <w:szCs w:val="18"/>
      </w:rPr>
      <w:fldChar w:fldCharType="end"/>
    </w:r>
    <w:r>
      <w:rPr>
        <w:color w:val="002060"/>
        <w:sz w:val="18"/>
        <w:szCs w:val="18"/>
      </w:rPr>
      <w:t xml:space="preserve"> sur </w:t>
    </w:r>
    <w:r>
      <w:rPr>
        <w:bCs/>
        <w:color w:val="002060"/>
        <w:sz w:val="18"/>
        <w:szCs w:val="18"/>
      </w:rPr>
      <w:fldChar w:fldCharType="begin"/>
    </w:r>
    <w:r>
      <w:rPr>
        <w:bCs/>
        <w:color w:val="002060"/>
        <w:sz w:val="18"/>
        <w:szCs w:val="18"/>
      </w:rPr>
      <w:instrText>NUMPAGES</w:instrText>
    </w:r>
    <w:r>
      <w:rPr>
        <w:bCs/>
        <w:color w:val="002060"/>
        <w:sz w:val="18"/>
        <w:szCs w:val="18"/>
      </w:rPr>
      <w:fldChar w:fldCharType="separate"/>
    </w:r>
    <w:r>
      <w:rPr>
        <w:bCs/>
        <w:noProof/>
        <w:color w:val="002060"/>
        <w:sz w:val="18"/>
        <w:szCs w:val="18"/>
      </w:rPr>
      <w:t>6</w:t>
    </w:r>
    <w:r>
      <w:rPr>
        <w:color w:val="00206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2F64" w:rsidRDefault="00892F64">
      <w:r>
        <w:separator/>
      </w:r>
    </w:p>
  </w:footnote>
  <w:footnote w:type="continuationSeparator" w:id="0">
    <w:p w:rsidR="00892F64" w:rsidRDefault="00892F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7126"/>
    <w:multiLevelType w:val="hybridMultilevel"/>
    <w:tmpl w:val="0C8C91B2"/>
    <w:lvl w:ilvl="0" w:tplc="92B80C04">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9854B8"/>
    <w:multiLevelType w:val="singleLevel"/>
    <w:tmpl w:val="DB8AD978"/>
    <w:lvl w:ilvl="0">
      <w:numFmt w:val="bullet"/>
      <w:lvlText w:val=""/>
      <w:lvlJc w:val="left"/>
      <w:pPr>
        <w:tabs>
          <w:tab w:val="num" w:pos="1070"/>
        </w:tabs>
        <w:ind w:left="993" w:hanging="283"/>
      </w:pPr>
      <w:rPr>
        <w:rFonts w:ascii="Symbol" w:hAnsi="Symbol" w:hint="default"/>
        <w:sz w:val="22"/>
      </w:rPr>
    </w:lvl>
  </w:abstractNum>
  <w:abstractNum w:abstractNumId="2" w15:restartNumberingAfterBreak="0">
    <w:nsid w:val="06885045"/>
    <w:multiLevelType w:val="hybridMultilevel"/>
    <w:tmpl w:val="399207DA"/>
    <w:lvl w:ilvl="0" w:tplc="5D2243D0">
      <w:start w:val="1"/>
      <w:numFmt w:val="bullet"/>
      <w:lvlText w:val=""/>
      <w:lvlJc w:val="left"/>
      <w:pPr>
        <w:tabs>
          <w:tab w:val="num" w:pos="1170"/>
        </w:tabs>
        <w:ind w:left="1170" w:hanging="360"/>
      </w:pPr>
      <w:rPr>
        <w:rFonts w:ascii="Symbol" w:hAnsi="Symbol" w:hint="default"/>
        <w:sz w:val="22"/>
        <w:szCs w:val="22"/>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C0123"/>
    <w:multiLevelType w:val="hybridMultilevel"/>
    <w:tmpl w:val="874010F8"/>
    <w:lvl w:ilvl="0" w:tplc="DB8AD978">
      <w:numFmt w:val="bullet"/>
      <w:lvlText w:val=""/>
      <w:lvlJc w:val="left"/>
      <w:pPr>
        <w:ind w:left="720" w:hanging="360"/>
      </w:pPr>
      <w:rPr>
        <w:rFonts w:ascii="Symbol" w:hAnsi="Symbol"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E545366"/>
    <w:multiLevelType w:val="hybridMultilevel"/>
    <w:tmpl w:val="5762DB3E"/>
    <w:lvl w:ilvl="0" w:tplc="6BBECFC8">
      <w:start w:val="1"/>
      <w:numFmt w:val="bullet"/>
      <w:lvlText w:val=""/>
      <w:lvlJc w:val="left"/>
      <w:pPr>
        <w:ind w:left="1145" w:hanging="360"/>
      </w:pPr>
      <w:rPr>
        <w:rFonts w:ascii="Symbol" w:hAnsi="Symbol" w:hint="default"/>
        <w:sz w:val="22"/>
        <w:szCs w:val="22"/>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5" w15:restartNumberingAfterBreak="0">
    <w:nsid w:val="12A364A1"/>
    <w:multiLevelType w:val="hybridMultilevel"/>
    <w:tmpl w:val="BBA2BAE2"/>
    <w:lvl w:ilvl="0" w:tplc="DFB01C86">
      <w:start w:val="1"/>
      <w:numFmt w:val="bullet"/>
      <w:lvlText w:val=""/>
      <w:lvlJc w:val="left"/>
      <w:pPr>
        <w:ind w:left="720" w:hanging="360"/>
      </w:pPr>
      <w:rPr>
        <w:rFonts w:ascii="Symbol" w:hAnsi="Symbol" w:hint="default"/>
      </w:rPr>
    </w:lvl>
    <w:lvl w:ilvl="1" w:tplc="C5E8E7F2">
      <w:start w:val="1"/>
      <w:numFmt w:val="bullet"/>
      <w:lvlText w:val="o"/>
      <w:lvlJc w:val="left"/>
      <w:pPr>
        <w:ind w:left="1440" w:hanging="360"/>
      </w:pPr>
      <w:rPr>
        <w:rFonts w:ascii="Courier New" w:hAnsi="Courier New" w:hint="default"/>
      </w:rPr>
    </w:lvl>
    <w:lvl w:ilvl="2" w:tplc="E396B186">
      <w:start w:val="1"/>
      <w:numFmt w:val="bullet"/>
      <w:lvlText w:val=""/>
      <w:lvlJc w:val="left"/>
      <w:pPr>
        <w:ind w:left="2160" w:hanging="360"/>
      </w:pPr>
      <w:rPr>
        <w:rFonts w:ascii="Wingdings" w:hAnsi="Wingdings" w:hint="default"/>
      </w:rPr>
    </w:lvl>
    <w:lvl w:ilvl="3" w:tplc="03F675D2">
      <w:start w:val="1"/>
      <w:numFmt w:val="bullet"/>
      <w:lvlText w:val=""/>
      <w:lvlJc w:val="left"/>
      <w:pPr>
        <w:ind w:left="2880" w:hanging="360"/>
      </w:pPr>
      <w:rPr>
        <w:rFonts w:ascii="Symbol" w:hAnsi="Symbol" w:hint="default"/>
      </w:rPr>
    </w:lvl>
    <w:lvl w:ilvl="4" w:tplc="6D9218CC">
      <w:start w:val="1"/>
      <w:numFmt w:val="bullet"/>
      <w:lvlText w:val="o"/>
      <w:lvlJc w:val="left"/>
      <w:pPr>
        <w:ind w:left="3600" w:hanging="360"/>
      </w:pPr>
      <w:rPr>
        <w:rFonts w:ascii="Courier New" w:hAnsi="Courier New" w:hint="default"/>
      </w:rPr>
    </w:lvl>
    <w:lvl w:ilvl="5" w:tplc="B234E8BE">
      <w:start w:val="1"/>
      <w:numFmt w:val="bullet"/>
      <w:lvlText w:val=""/>
      <w:lvlJc w:val="left"/>
      <w:pPr>
        <w:ind w:left="4320" w:hanging="360"/>
      </w:pPr>
      <w:rPr>
        <w:rFonts w:ascii="Wingdings" w:hAnsi="Wingdings" w:hint="default"/>
      </w:rPr>
    </w:lvl>
    <w:lvl w:ilvl="6" w:tplc="405C9B74">
      <w:start w:val="1"/>
      <w:numFmt w:val="bullet"/>
      <w:lvlText w:val=""/>
      <w:lvlJc w:val="left"/>
      <w:pPr>
        <w:ind w:left="5040" w:hanging="360"/>
      </w:pPr>
      <w:rPr>
        <w:rFonts w:ascii="Symbol" w:hAnsi="Symbol" w:hint="default"/>
      </w:rPr>
    </w:lvl>
    <w:lvl w:ilvl="7" w:tplc="428EB2E4">
      <w:start w:val="1"/>
      <w:numFmt w:val="bullet"/>
      <w:lvlText w:val="o"/>
      <w:lvlJc w:val="left"/>
      <w:pPr>
        <w:ind w:left="5760" w:hanging="360"/>
      </w:pPr>
      <w:rPr>
        <w:rFonts w:ascii="Courier New" w:hAnsi="Courier New" w:hint="default"/>
      </w:rPr>
    </w:lvl>
    <w:lvl w:ilvl="8" w:tplc="7BE807A8">
      <w:start w:val="1"/>
      <w:numFmt w:val="bullet"/>
      <w:lvlText w:val=""/>
      <w:lvlJc w:val="left"/>
      <w:pPr>
        <w:ind w:left="6480" w:hanging="360"/>
      </w:pPr>
      <w:rPr>
        <w:rFonts w:ascii="Wingdings" w:hAnsi="Wingdings" w:hint="default"/>
      </w:rPr>
    </w:lvl>
  </w:abstractNum>
  <w:abstractNum w:abstractNumId="6" w15:restartNumberingAfterBreak="0">
    <w:nsid w:val="1B2752C4"/>
    <w:multiLevelType w:val="singleLevel"/>
    <w:tmpl w:val="71C063FC"/>
    <w:lvl w:ilvl="0">
      <w:start w:val="1"/>
      <w:numFmt w:val="bullet"/>
      <w:lvlText w:val=""/>
      <w:lvlJc w:val="left"/>
      <w:pPr>
        <w:ind w:left="1494" w:hanging="360"/>
      </w:pPr>
      <w:rPr>
        <w:rFonts w:ascii="Symbol" w:hAnsi="Symbol" w:hint="default"/>
        <w:sz w:val="18"/>
        <w:szCs w:val="18"/>
      </w:rPr>
    </w:lvl>
  </w:abstractNum>
  <w:abstractNum w:abstractNumId="7" w15:restartNumberingAfterBreak="0">
    <w:nsid w:val="1C745449"/>
    <w:multiLevelType w:val="singleLevel"/>
    <w:tmpl w:val="E6DA00DC"/>
    <w:lvl w:ilvl="0">
      <w:start w:val="1"/>
      <w:numFmt w:val="bullet"/>
      <w:lvlText w:val=""/>
      <w:lvlJc w:val="left"/>
      <w:pPr>
        <w:tabs>
          <w:tab w:val="num" w:pos="1494"/>
        </w:tabs>
        <w:ind w:left="1418" w:hanging="284"/>
      </w:pPr>
      <w:rPr>
        <w:rFonts w:ascii="Symbol" w:hAnsi="Symbol" w:hint="default"/>
        <w:sz w:val="18"/>
      </w:rPr>
    </w:lvl>
  </w:abstractNum>
  <w:abstractNum w:abstractNumId="8" w15:restartNumberingAfterBreak="0">
    <w:nsid w:val="202A2E46"/>
    <w:multiLevelType w:val="hybridMultilevel"/>
    <w:tmpl w:val="EE12DC04"/>
    <w:lvl w:ilvl="0" w:tplc="92B80C04">
      <w:start w:val="1"/>
      <w:numFmt w:val="bullet"/>
      <w:lvlText w:val=""/>
      <w:lvlJc w:val="left"/>
      <w:pPr>
        <w:ind w:left="720" w:hanging="360"/>
      </w:pPr>
      <w:rPr>
        <w:rFonts w:ascii="Symbol" w:hAnsi="Symbol"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20C6ED6"/>
    <w:multiLevelType w:val="hybridMultilevel"/>
    <w:tmpl w:val="CECADB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375030A"/>
    <w:multiLevelType w:val="singleLevel"/>
    <w:tmpl w:val="AD400FE6"/>
    <w:lvl w:ilvl="0">
      <w:start w:val="1"/>
      <w:numFmt w:val="bullet"/>
      <w:lvlText w:val=""/>
      <w:lvlJc w:val="left"/>
      <w:pPr>
        <w:tabs>
          <w:tab w:val="num" w:pos="567"/>
        </w:tabs>
        <w:ind w:left="567" w:hanging="567"/>
      </w:pPr>
      <w:rPr>
        <w:rFonts w:ascii="Symbol" w:hAnsi="Symbol" w:hint="default"/>
        <w:sz w:val="22"/>
      </w:rPr>
    </w:lvl>
  </w:abstractNum>
  <w:abstractNum w:abstractNumId="11" w15:restartNumberingAfterBreak="0">
    <w:nsid w:val="23786EE1"/>
    <w:multiLevelType w:val="hybridMultilevel"/>
    <w:tmpl w:val="BCB297D6"/>
    <w:lvl w:ilvl="0" w:tplc="92B80C04">
      <w:start w:val="1"/>
      <w:numFmt w:val="bullet"/>
      <w:lvlText w:val=""/>
      <w:lvlJc w:val="left"/>
      <w:pPr>
        <w:ind w:left="1069" w:hanging="360"/>
      </w:pPr>
      <w:rPr>
        <w:rFonts w:ascii="Symbol" w:hAnsi="Symbol" w:hint="default"/>
        <w:sz w:val="22"/>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12" w15:restartNumberingAfterBreak="0">
    <w:nsid w:val="2DFC63E4"/>
    <w:multiLevelType w:val="hybridMultilevel"/>
    <w:tmpl w:val="FF46E2F4"/>
    <w:lvl w:ilvl="0" w:tplc="FFFFFFFF">
      <w:start w:val="1"/>
      <w:numFmt w:val="bullet"/>
      <w:lvlText w:val=""/>
      <w:lvlJc w:val="left"/>
      <w:pPr>
        <w:ind w:left="1636" w:hanging="360"/>
      </w:pPr>
      <w:rPr>
        <w:rFonts w:ascii="Symbol" w:hAnsi="Symbol" w:hint="default"/>
        <w:sz w:val="22"/>
      </w:rPr>
    </w:lvl>
    <w:lvl w:ilvl="1" w:tplc="DB8AD978">
      <w:numFmt w:val="bullet"/>
      <w:lvlText w:val=""/>
      <w:lvlJc w:val="left"/>
      <w:pPr>
        <w:ind w:left="2487" w:hanging="360"/>
      </w:pPr>
      <w:rPr>
        <w:rFonts w:ascii="Symbol" w:hAnsi="Symbol" w:hint="default"/>
        <w:sz w:val="22"/>
      </w:rPr>
    </w:lvl>
    <w:lvl w:ilvl="2" w:tplc="080C0005" w:tentative="1">
      <w:start w:val="1"/>
      <w:numFmt w:val="bullet"/>
      <w:lvlText w:val=""/>
      <w:lvlJc w:val="left"/>
      <w:pPr>
        <w:ind w:left="3076" w:hanging="360"/>
      </w:pPr>
      <w:rPr>
        <w:rFonts w:ascii="Wingdings" w:hAnsi="Wingdings" w:hint="default"/>
      </w:rPr>
    </w:lvl>
    <w:lvl w:ilvl="3" w:tplc="080C0001" w:tentative="1">
      <w:start w:val="1"/>
      <w:numFmt w:val="bullet"/>
      <w:lvlText w:val=""/>
      <w:lvlJc w:val="left"/>
      <w:pPr>
        <w:ind w:left="3796" w:hanging="360"/>
      </w:pPr>
      <w:rPr>
        <w:rFonts w:ascii="Symbol" w:hAnsi="Symbol" w:hint="default"/>
      </w:rPr>
    </w:lvl>
    <w:lvl w:ilvl="4" w:tplc="080C0003" w:tentative="1">
      <w:start w:val="1"/>
      <w:numFmt w:val="bullet"/>
      <w:lvlText w:val="o"/>
      <w:lvlJc w:val="left"/>
      <w:pPr>
        <w:ind w:left="4516" w:hanging="360"/>
      </w:pPr>
      <w:rPr>
        <w:rFonts w:ascii="Courier New" w:hAnsi="Courier New" w:cs="Courier New" w:hint="default"/>
      </w:rPr>
    </w:lvl>
    <w:lvl w:ilvl="5" w:tplc="080C0005" w:tentative="1">
      <w:start w:val="1"/>
      <w:numFmt w:val="bullet"/>
      <w:lvlText w:val=""/>
      <w:lvlJc w:val="left"/>
      <w:pPr>
        <w:ind w:left="5236" w:hanging="360"/>
      </w:pPr>
      <w:rPr>
        <w:rFonts w:ascii="Wingdings" w:hAnsi="Wingdings" w:hint="default"/>
      </w:rPr>
    </w:lvl>
    <w:lvl w:ilvl="6" w:tplc="080C0001" w:tentative="1">
      <w:start w:val="1"/>
      <w:numFmt w:val="bullet"/>
      <w:lvlText w:val=""/>
      <w:lvlJc w:val="left"/>
      <w:pPr>
        <w:ind w:left="5956" w:hanging="360"/>
      </w:pPr>
      <w:rPr>
        <w:rFonts w:ascii="Symbol" w:hAnsi="Symbol" w:hint="default"/>
      </w:rPr>
    </w:lvl>
    <w:lvl w:ilvl="7" w:tplc="080C0003" w:tentative="1">
      <w:start w:val="1"/>
      <w:numFmt w:val="bullet"/>
      <w:lvlText w:val="o"/>
      <w:lvlJc w:val="left"/>
      <w:pPr>
        <w:ind w:left="6676" w:hanging="360"/>
      </w:pPr>
      <w:rPr>
        <w:rFonts w:ascii="Courier New" w:hAnsi="Courier New" w:cs="Courier New" w:hint="default"/>
      </w:rPr>
    </w:lvl>
    <w:lvl w:ilvl="8" w:tplc="080C0005" w:tentative="1">
      <w:start w:val="1"/>
      <w:numFmt w:val="bullet"/>
      <w:lvlText w:val=""/>
      <w:lvlJc w:val="left"/>
      <w:pPr>
        <w:ind w:left="7396" w:hanging="360"/>
      </w:pPr>
      <w:rPr>
        <w:rFonts w:ascii="Wingdings" w:hAnsi="Wingdings" w:hint="default"/>
      </w:rPr>
    </w:lvl>
  </w:abstractNum>
  <w:abstractNum w:abstractNumId="13" w15:restartNumberingAfterBreak="0">
    <w:nsid w:val="33243B16"/>
    <w:multiLevelType w:val="hybridMultilevel"/>
    <w:tmpl w:val="0F42DD1A"/>
    <w:lvl w:ilvl="0" w:tplc="92B80C04">
      <w:start w:val="1"/>
      <w:numFmt w:val="bullet"/>
      <w:lvlText w:val=""/>
      <w:lvlJc w:val="left"/>
      <w:pPr>
        <w:ind w:left="720" w:hanging="360"/>
      </w:pPr>
      <w:rPr>
        <w:rFonts w:ascii="Symbol" w:hAnsi="Symbol"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C27573C"/>
    <w:multiLevelType w:val="hybridMultilevel"/>
    <w:tmpl w:val="D70A5BE2"/>
    <w:lvl w:ilvl="0" w:tplc="92B80C04">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FD0B01"/>
    <w:multiLevelType w:val="hybridMultilevel"/>
    <w:tmpl w:val="C2D4EB1E"/>
    <w:lvl w:ilvl="0" w:tplc="B91851A4">
      <w:start w:val="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84703D2"/>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17" w15:restartNumberingAfterBreak="0">
    <w:nsid w:val="52392C59"/>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18" w15:restartNumberingAfterBreak="0">
    <w:nsid w:val="523D30EE"/>
    <w:multiLevelType w:val="multilevel"/>
    <w:tmpl w:val="77042FCC"/>
    <w:lvl w:ilvl="0">
      <w:start w:val="3"/>
      <w:numFmt w:val="decimal"/>
      <w:lvlText w:val="%1."/>
      <w:lvlJc w:val="left"/>
      <w:pPr>
        <w:ind w:left="720" w:hanging="360"/>
      </w:pPr>
      <w:rPr>
        <w:rFonts w:hint="default"/>
      </w:rPr>
    </w:lvl>
    <w:lvl w:ilvl="1">
      <w:start w:val="4"/>
      <w:numFmt w:val="decimal"/>
      <w:isLgl/>
      <w:lvlText w:val="%1.%2."/>
      <w:lvlJc w:val="left"/>
      <w:pPr>
        <w:ind w:left="1104" w:hanging="396"/>
      </w:pPr>
      <w:rPr>
        <w:rFonts w:hint="default"/>
        <w:color w:val="auto"/>
      </w:rPr>
    </w:lvl>
    <w:lvl w:ilvl="2">
      <w:start w:val="1"/>
      <w:numFmt w:val="decimal"/>
      <w:isLgl/>
      <w:lvlText w:val="%1.%2.%3."/>
      <w:lvlJc w:val="left"/>
      <w:pPr>
        <w:ind w:left="1776" w:hanging="720"/>
      </w:pPr>
      <w:rPr>
        <w:rFonts w:hint="default"/>
        <w:color w:val="auto"/>
      </w:rPr>
    </w:lvl>
    <w:lvl w:ilvl="3">
      <w:start w:val="1"/>
      <w:numFmt w:val="decimal"/>
      <w:isLgl/>
      <w:lvlText w:val="%1.%2.%3.%4."/>
      <w:lvlJc w:val="left"/>
      <w:pPr>
        <w:ind w:left="2124" w:hanging="720"/>
      </w:pPr>
      <w:rPr>
        <w:rFonts w:hint="default"/>
        <w:color w:val="auto"/>
      </w:rPr>
    </w:lvl>
    <w:lvl w:ilvl="4">
      <w:start w:val="1"/>
      <w:numFmt w:val="decimal"/>
      <w:isLgl/>
      <w:lvlText w:val="%1.%2.%3.%4.%5."/>
      <w:lvlJc w:val="left"/>
      <w:pPr>
        <w:ind w:left="2832" w:hanging="1080"/>
      </w:pPr>
      <w:rPr>
        <w:rFonts w:hint="default"/>
        <w:color w:val="auto"/>
      </w:rPr>
    </w:lvl>
    <w:lvl w:ilvl="5">
      <w:start w:val="1"/>
      <w:numFmt w:val="decimal"/>
      <w:isLgl/>
      <w:lvlText w:val="%1.%2.%3.%4.%5.%6."/>
      <w:lvlJc w:val="left"/>
      <w:pPr>
        <w:ind w:left="3180" w:hanging="1080"/>
      </w:pPr>
      <w:rPr>
        <w:rFonts w:hint="default"/>
        <w:color w:val="auto"/>
      </w:rPr>
    </w:lvl>
    <w:lvl w:ilvl="6">
      <w:start w:val="1"/>
      <w:numFmt w:val="decimal"/>
      <w:isLgl/>
      <w:lvlText w:val="%1.%2.%3.%4.%5.%6.%7."/>
      <w:lvlJc w:val="left"/>
      <w:pPr>
        <w:ind w:left="3888" w:hanging="1440"/>
      </w:pPr>
      <w:rPr>
        <w:rFonts w:hint="default"/>
        <w:color w:val="auto"/>
      </w:rPr>
    </w:lvl>
    <w:lvl w:ilvl="7">
      <w:start w:val="1"/>
      <w:numFmt w:val="decimal"/>
      <w:isLgl/>
      <w:lvlText w:val="%1.%2.%3.%4.%5.%6.%7.%8."/>
      <w:lvlJc w:val="left"/>
      <w:pPr>
        <w:ind w:left="4236" w:hanging="1440"/>
      </w:pPr>
      <w:rPr>
        <w:rFonts w:hint="default"/>
        <w:color w:val="auto"/>
      </w:rPr>
    </w:lvl>
    <w:lvl w:ilvl="8">
      <w:start w:val="1"/>
      <w:numFmt w:val="decimal"/>
      <w:isLgl/>
      <w:lvlText w:val="%1.%2.%3.%4.%5.%6.%7.%8.%9."/>
      <w:lvlJc w:val="left"/>
      <w:pPr>
        <w:ind w:left="4944" w:hanging="1800"/>
      </w:pPr>
      <w:rPr>
        <w:rFonts w:hint="default"/>
        <w:color w:val="auto"/>
      </w:rPr>
    </w:lvl>
  </w:abstractNum>
  <w:abstractNum w:abstractNumId="19" w15:restartNumberingAfterBreak="0">
    <w:nsid w:val="52BE1852"/>
    <w:multiLevelType w:val="hybridMultilevel"/>
    <w:tmpl w:val="D632F30A"/>
    <w:lvl w:ilvl="0" w:tplc="5BDA2412">
      <w:numFmt w:val="bullet"/>
      <w:lvlText w:val=""/>
      <w:lvlJc w:val="left"/>
      <w:pPr>
        <w:ind w:left="1211" w:hanging="360"/>
      </w:pPr>
      <w:rPr>
        <w:rFonts w:ascii="Symbol" w:hAnsi="Symbol" w:hint="default"/>
        <w:b w:val="0"/>
        <w:i w:val="0"/>
        <w:caps w:val="0"/>
        <w:strike w:val="0"/>
        <w:dstrike w:val="0"/>
        <w:outline w:val="0"/>
        <w:shadow w:val="0"/>
        <w:emboss w:val="0"/>
        <w:imprint w:val="0"/>
        <w:vanish w:val="0"/>
        <w:sz w:val="22"/>
        <w:vertAlign w:val="baseline"/>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20" w15:restartNumberingAfterBreak="0">
    <w:nsid w:val="545454C7"/>
    <w:multiLevelType w:val="hybridMultilevel"/>
    <w:tmpl w:val="EB0CBB3A"/>
    <w:lvl w:ilvl="0" w:tplc="C9241C1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B6218C1"/>
    <w:multiLevelType w:val="multilevel"/>
    <w:tmpl w:val="B8845882"/>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860"/>
        </w:tabs>
        <w:ind w:left="860" w:hanging="435"/>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22" w15:restartNumberingAfterBreak="0">
    <w:nsid w:val="634C18A6"/>
    <w:multiLevelType w:val="hybridMultilevel"/>
    <w:tmpl w:val="A3E87DCC"/>
    <w:lvl w:ilvl="0" w:tplc="92B80C04">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FBD7118"/>
    <w:multiLevelType w:val="hybridMultilevel"/>
    <w:tmpl w:val="7D36E770"/>
    <w:lvl w:ilvl="0" w:tplc="92B80C04">
      <w:start w:val="1"/>
      <w:numFmt w:val="bullet"/>
      <w:lvlText w:val=""/>
      <w:lvlJc w:val="left"/>
      <w:pPr>
        <w:ind w:left="1353" w:hanging="360"/>
      </w:pPr>
      <w:rPr>
        <w:rFonts w:ascii="Symbol" w:hAnsi="Symbol" w:hint="default"/>
        <w:sz w:val="22"/>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4" w15:restartNumberingAfterBreak="0">
    <w:nsid w:val="7653118C"/>
    <w:multiLevelType w:val="singleLevel"/>
    <w:tmpl w:val="92B80C04"/>
    <w:lvl w:ilvl="0">
      <w:start w:val="1"/>
      <w:numFmt w:val="bullet"/>
      <w:lvlText w:val=""/>
      <w:lvlJc w:val="left"/>
      <w:pPr>
        <w:ind w:left="720" w:hanging="360"/>
      </w:pPr>
      <w:rPr>
        <w:rFonts w:ascii="Symbol" w:hAnsi="Symbol" w:hint="default"/>
        <w:sz w:val="22"/>
      </w:rPr>
    </w:lvl>
  </w:abstractNum>
  <w:abstractNum w:abstractNumId="25" w15:restartNumberingAfterBreak="0">
    <w:nsid w:val="7A0326F1"/>
    <w:multiLevelType w:val="hybridMultilevel"/>
    <w:tmpl w:val="4D762094"/>
    <w:lvl w:ilvl="0" w:tplc="5BDA2412">
      <w:numFmt w:val="bullet"/>
      <w:lvlText w:val=""/>
      <w:lvlJc w:val="left"/>
      <w:pPr>
        <w:ind w:left="720" w:hanging="360"/>
      </w:pPr>
      <w:rPr>
        <w:rFonts w:ascii="Symbol" w:hAnsi="Symbol" w:hint="default"/>
        <w:b w:val="0"/>
        <w:i w:val="0"/>
        <w:caps w:val="0"/>
        <w:strike w:val="0"/>
        <w:dstrike w:val="0"/>
        <w:outline w:val="0"/>
        <w:shadow w:val="0"/>
        <w:emboss w:val="0"/>
        <w:imprint w:val="0"/>
        <w:vanish w:val="0"/>
        <w:sz w:val="22"/>
        <w:vertAlign w:val="baseline"/>
      </w:rPr>
    </w:lvl>
    <w:lvl w:ilvl="1" w:tplc="F3A83802">
      <w:start w:val="1"/>
      <w:numFmt w:val="bullet"/>
      <w:lvlText w:val=""/>
      <w:lvlJc w:val="left"/>
      <w:pPr>
        <w:ind w:left="1440" w:hanging="360"/>
      </w:pPr>
      <w:rPr>
        <w:rFonts w:ascii="Symbol" w:hAnsi="Symbol" w:hint="default"/>
        <w:sz w:val="22"/>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E517B6F"/>
    <w:multiLevelType w:val="hybridMultilevel"/>
    <w:tmpl w:val="013A4BAC"/>
    <w:lvl w:ilvl="0" w:tplc="9A7278D8">
      <w:start w:val="1"/>
      <w:numFmt w:val="bullet"/>
      <w:lvlText w:val=""/>
      <w:lvlJc w:val="left"/>
      <w:pPr>
        <w:ind w:left="1211" w:hanging="360"/>
      </w:pPr>
      <w:rPr>
        <w:rFonts w:ascii="Symbol" w:hAnsi="Symbol" w:hint="default"/>
      </w:rPr>
    </w:lvl>
    <w:lvl w:ilvl="1" w:tplc="85CA02F4">
      <w:start w:val="1"/>
      <w:numFmt w:val="bullet"/>
      <w:lvlText w:val="♦"/>
      <w:lvlJc w:val="left"/>
      <w:pPr>
        <w:ind w:left="1440" w:hanging="360"/>
      </w:pPr>
      <w:rPr>
        <w:rFonts w:ascii="Courier New" w:hAnsi="Courier New" w:hint="default"/>
      </w:rPr>
    </w:lvl>
    <w:lvl w:ilvl="2" w:tplc="B24C98C2">
      <w:start w:val="1"/>
      <w:numFmt w:val="bullet"/>
      <w:lvlText w:val=""/>
      <w:lvlJc w:val="left"/>
      <w:pPr>
        <w:ind w:left="2160" w:hanging="360"/>
      </w:pPr>
      <w:rPr>
        <w:rFonts w:ascii="Wingdings" w:hAnsi="Wingdings" w:hint="default"/>
      </w:rPr>
    </w:lvl>
    <w:lvl w:ilvl="3" w:tplc="FA44BDEA">
      <w:start w:val="1"/>
      <w:numFmt w:val="bullet"/>
      <w:lvlText w:val=""/>
      <w:lvlJc w:val="left"/>
      <w:pPr>
        <w:ind w:left="2880" w:hanging="360"/>
      </w:pPr>
      <w:rPr>
        <w:rFonts w:ascii="Symbol" w:hAnsi="Symbol" w:hint="default"/>
      </w:rPr>
    </w:lvl>
    <w:lvl w:ilvl="4" w:tplc="3E022D7C">
      <w:start w:val="1"/>
      <w:numFmt w:val="bullet"/>
      <w:lvlText w:val="o"/>
      <w:lvlJc w:val="left"/>
      <w:pPr>
        <w:ind w:left="3600" w:hanging="360"/>
      </w:pPr>
      <w:rPr>
        <w:rFonts w:ascii="Courier New" w:hAnsi="Courier New" w:hint="default"/>
      </w:rPr>
    </w:lvl>
    <w:lvl w:ilvl="5" w:tplc="685647AC">
      <w:start w:val="1"/>
      <w:numFmt w:val="bullet"/>
      <w:lvlText w:val=""/>
      <w:lvlJc w:val="left"/>
      <w:pPr>
        <w:ind w:left="4320" w:hanging="360"/>
      </w:pPr>
      <w:rPr>
        <w:rFonts w:ascii="Wingdings" w:hAnsi="Wingdings" w:hint="default"/>
      </w:rPr>
    </w:lvl>
    <w:lvl w:ilvl="6" w:tplc="F398D6EE">
      <w:start w:val="1"/>
      <w:numFmt w:val="bullet"/>
      <w:lvlText w:val=""/>
      <w:lvlJc w:val="left"/>
      <w:pPr>
        <w:ind w:left="5040" w:hanging="360"/>
      </w:pPr>
      <w:rPr>
        <w:rFonts w:ascii="Symbol" w:hAnsi="Symbol" w:hint="default"/>
      </w:rPr>
    </w:lvl>
    <w:lvl w:ilvl="7" w:tplc="0100B924">
      <w:start w:val="1"/>
      <w:numFmt w:val="bullet"/>
      <w:lvlText w:val="o"/>
      <w:lvlJc w:val="left"/>
      <w:pPr>
        <w:ind w:left="5760" w:hanging="360"/>
      </w:pPr>
      <w:rPr>
        <w:rFonts w:ascii="Courier New" w:hAnsi="Courier New" w:hint="default"/>
      </w:rPr>
    </w:lvl>
    <w:lvl w:ilvl="8" w:tplc="2D7EC884">
      <w:start w:val="1"/>
      <w:numFmt w:val="bullet"/>
      <w:lvlText w:val=""/>
      <w:lvlJc w:val="left"/>
      <w:pPr>
        <w:ind w:left="6480" w:hanging="360"/>
      </w:pPr>
      <w:rPr>
        <w:rFonts w:ascii="Wingdings" w:hAnsi="Wingdings" w:hint="default"/>
      </w:rPr>
    </w:lvl>
  </w:abstractNum>
  <w:num w:numId="1" w16cid:durableId="1148478642">
    <w:abstractNumId w:val="5"/>
  </w:num>
  <w:num w:numId="2" w16cid:durableId="1816213053">
    <w:abstractNumId w:val="26"/>
  </w:num>
  <w:num w:numId="3" w16cid:durableId="591083722">
    <w:abstractNumId w:val="21"/>
  </w:num>
  <w:num w:numId="4" w16cid:durableId="271547793">
    <w:abstractNumId w:val="16"/>
  </w:num>
  <w:num w:numId="5" w16cid:durableId="148208321">
    <w:abstractNumId w:val="24"/>
  </w:num>
  <w:num w:numId="6" w16cid:durableId="1795951111">
    <w:abstractNumId w:val="7"/>
  </w:num>
  <w:num w:numId="7" w16cid:durableId="158690196">
    <w:abstractNumId w:val="17"/>
  </w:num>
  <w:num w:numId="8" w16cid:durableId="466244228">
    <w:abstractNumId w:val="9"/>
  </w:num>
  <w:num w:numId="9" w16cid:durableId="212891070">
    <w:abstractNumId w:val="20"/>
  </w:num>
  <w:num w:numId="10" w16cid:durableId="1383945637">
    <w:abstractNumId w:val="15"/>
  </w:num>
  <w:num w:numId="11" w16cid:durableId="1311981385">
    <w:abstractNumId w:val="8"/>
  </w:num>
  <w:num w:numId="12" w16cid:durableId="246115886">
    <w:abstractNumId w:val="13"/>
  </w:num>
  <w:num w:numId="13" w16cid:durableId="291064104">
    <w:abstractNumId w:val="22"/>
  </w:num>
  <w:num w:numId="14" w16cid:durableId="1646199505">
    <w:abstractNumId w:val="2"/>
  </w:num>
  <w:num w:numId="15" w16cid:durableId="482042401">
    <w:abstractNumId w:val="3"/>
  </w:num>
  <w:num w:numId="16" w16cid:durableId="826437509">
    <w:abstractNumId w:val="12"/>
  </w:num>
  <w:num w:numId="17" w16cid:durableId="2073114660">
    <w:abstractNumId w:val="6"/>
  </w:num>
  <w:num w:numId="18" w16cid:durableId="663581664">
    <w:abstractNumId w:val="18"/>
  </w:num>
  <w:num w:numId="19" w16cid:durableId="13069933">
    <w:abstractNumId w:val="19"/>
  </w:num>
  <w:num w:numId="20" w16cid:durableId="575018373">
    <w:abstractNumId w:val="1"/>
  </w:num>
  <w:num w:numId="21" w16cid:durableId="1845976150">
    <w:abstractNumId w:val="4"/>
  </w:num>
  <w:num w:numId="22" w16cid:durableId="1492021298">
    <w:abstractNumId w:val="11"/>
  </w:num>
  <w:num w:numId="23" w16cid:durableId="1616521363">
    <w:abstractNumId w:val="23"/>
  </w:num>
  <w:num w:numId="24" w16cid:durableId="235625493">
    <w:abstractNumId w:val="14"/>
  </w:num>
  <w:num w:numId="25" w16cid:durableId="1632251704">
    <w:abstractNumId w:val="0"/>
  </w:num>
  <w:num w:numId="26" w16cid:durableId="471139055">
    <w:abstractNumId w:val="10"/>
  </w:num>
  <w:num w:numId="27" w16cid:durableId="857500124">
    <w:abstractNumId w:val="25"/>
  </w:num>
  <w:num w:numId="28" w16cid:durableId="407923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085E"/>
    <w:rsid w:val="00892F64"/>
    <w:rsid w:val="00AC085E"/>
    <w:rsid w:val="00E34B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efaultImageDpi w14:val="32767"/>
  <w15:docId w15:val="{4B4E3CCD-81EF-46BA-8E82-4847F03D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2"/>
      <w:szCs w:val="20"/>
      <w:lang w:eastAsia="fr-FR"/>
    </w:rPr>
  </w:style>
  <w:style w:type="paragraph" w:styleId="Titre8">
    <w:name w:val="heading 8"/>
    <w:basedOn w:val="Normal"/>
    <w:next w:val="Normal"/>
    <w:link w:val="Titre8Car"/>
    <w:qFormat/>
    <w:pPr>
      <w:keepNext/>
      <w:ind w:left="71"/>
      <w:outlineLvl w:val="7"/>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8Car">
    <w:name w:val="Titre 8 Car"/>
    <w:basedOn w:val="Policepardfaut"/>
    <w:link w:val="Titre8"/>
    <w:rPr>
      <w:rFonts w:ascii="Times New Roman" w:eastAsia="Times New Roman" w:hAnsi="Times New Roman" w:cs="Times New Roman"/>
      <w:b/>
      <w:sz w:val="20"/>
      <w:szCs w:val="20"/>
      <w:lang w:eastAsia="fr-FR"/>
    </w:rPr>
  </w:style>
  <w:style w:type="paragraph" w:customStyle="1" w:styleId="Texte">
    <w:name w:val="Texte"/>
    <w:basedOn w:val="Normal"/>
    <w:rPr>
      <w:rFonts w:ascii="MS Serif" w:hAnsi="MS Serif"/>
      <w:noProof/>
    </w:rPr>
  </w:style>
  <w:style w:type="paragraph" w:styleId="Pieddepage">
    <w:name w:val="footer"/>
    <w:basedOn w:val="Normal"/>
    <w:link w:val="PieddepageCar"/>
    <w:pPr>
      <w:tabs>
        <w:tab w:val="center" w:pos="4536"/>
        <w:tab w:val="right" w:pos="9072"/>
      </w:tabs>
    </w:pPr>
  </w:style>
  <w:style w:type="character" w:customStyle="1" w:styleId="PieddepageCar">
    <w:name w:val="Pied de page Car"/>
    <w:basedOn w:val="Policepardfaut"/>
    <w:link w:val="Pieddepage"/>
    <w:rPr>
      <w:rFonts w:ascii="Times New Roman" w:eastAsia="Times New Roman" w:hAnsi="Times New Roman" w:cs="Times New Roman"/>
      <w:sz w:val="22"/>
      <w:szCs w:val="20"/>
      <w:lang w:eastAsia="fr-FR"/>
    </w:rPr>
  </w:style>
  <w:style w:type="paragraph" w:styleId="Corpsdetexte">
    <w:name w:val="Body Text"/>
    <w:basedOn w:val="Normal"/>
    <w:link w:val="CorpsdetexteCar"/>
    <w:pPr>
      <w:tabs>
        <w:tab w:val="decimal" w:pos="851"/>
      </w:tabs>
      <w:spacing w:after="120"/>
      <w:ind w:left="907" w:right="-510" w:hanging="113"/>
    </w:pPr>
  </w:style>
  <w:style w:type="character" w:customStyle="1" w:styleId="CorpsdetexteCar">
    <w:name w:val="Corps de texte Car"/>
    <w:basedOn w:val="Policepardfaut"/>
    <w:link w:val="Corpsdetexte"/>
    <w:rPr>
      <w:rFonts w:ascii="Times New Roman" w:eastAsia="Times New Roman" w:hAnsi="Times New Roman" w:cs="Times New Roman"/>
      <w:sz w:val="22"/>
      <w:szCs w:val="20"/>
      <w:lang w:eastAsia="fr-FR"/>
    </w:rPr>
  </w:style>
  <w:style w:type="paragraph" w:styleId="Notedebasdepage">
    <w:name w:val="footnote text"/>
    <w:basedOn w:val="Normal"/>
    <w:link w:val="NotedebasdepageCar"/>
    <w:semiHidden/>
  </w:style>
  <w:style w:type="character" w:customStyle="1" w:styleId="NotedebasdepageCar">
    <w:name w:val="Note de bas de page Car"/>
    <w:basedOn w:val="Policepardfaut"/>
    <w:link w:val="Notedebasdepage"/>
    <w:semiHidden/>
    <w:rPr>
      <w:rFonts w:ascii="Times New Roman" w:eastAsia="Times New Roman" w:hAnsi="Times New Roman" w:cs="Times New Roman"/>
      <w:sz w:val="22"/>
      <w:szCs w:val="20"/>
      <w:lang w:eastAsia="fr-FR"/>
    </w:rPr>
  </w:style>
  <w:style w:type="paragraph" w:customStyle="1" w:styleId="tableauc">
    <w:name w:val="tableauc"/>
    <w:basedOn w:val="Normal"/>
    <w:autoRedefine/>
    <w:pPr>
      <w:jc w:val="center"/>
    </w:pPr>
    <w:rPr>
      <w:b/>
    </w:rPr>
  </w:style>
  <w:style w:type="paragraph" w:styleId="Paragraphedeliste">
    <w:name w:val="List Paragraph"/>
    <w:basedOn w:val="Normal"/>
    <w:uiPriority w:val="34"/>
    <w:qFormat/>
    <w:pPr>
      <w:ind w:left="708"/>
    </w:pPr>
    <w:rPr>
      <w:sz w:val="24"/>
      <w:szCs w:val="24"/>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Times New Roman" w:eastAsia="Times New Roman" w:hAnsi="Times New Roman" w:cs="Times New Roman"/>
      <w:sz w:val="22"/>
      <w:szCs w:val="20"/>
      <w:lang w:eastAsia="fr-FR"/>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sz w:val="20"/>
    </w:rPr>
  </w:style>
  <w:style w:type="character" w:customStyle="1" w:styleId="CommentaireCar">
    <w:name w:val="Commentaire Car"/>
    <w:basedOn w:val="Policepardfaut"/>
    <w:link w:val="Commentaire"/>
    <w:uiPriority w:val="99"/>
    <w:semiHidden/>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236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55b133d-d04f-4c4e-8fac-50cf7878c64a" xsi:nil="true"/>
    <lcf76f155ced4ddcb4097134ff3c332f xmlns="0c6b66db-27f1-41a1-866c-4854429487d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7A35E6BD199E41AB0E1DED02458B61" ma:contentTypeVersion="11" ma:contentTypeDescription="Crée un document." ma:contentTypeScope="" ma:versionID="cfcab6196f52b2be2ec78b9e63329dc0">
  <xsd:schema xmlns:xsd="http://www.w3.org/2001/XMLSchema" xmlns:xs="http://www.w3.org/2001/XMLSchema" xmlns:p="http://schemas.microsoft.com/office/2006/metadata/properties" xmlns:ns2="0c6b66db-27f1-41a1-866c-4854429487d4" xmlns:ns3="155b133d-d04f-4c4e-8fac-50cf7878c64a" targetNamespace="http://schemas.microsoft.com/office/2006/metadata/properties" ma:root="true" ma:fieldsID="d0ee627ba2841ee758b9248d72a41cef" ns2:_="" ns3:_="">
    <xsd:import namespace="0c6b66db-27f1-41a1-866c-4854429487d4"/>
    <xsd:import namespace="155b133d-d04f-4c4e-8fac-50cf7878c6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b66db-27f1-41a1-866c-485442948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27468eb6-26da-4b33-9044-caf1250aaee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5b133d-d04f-4c4e-8fac-50cf7878c64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76d96c9c-e600-4567-bcfe-2bed046b1b8c}" ma:internalName="TaxCatchAll" ma:showField="CatchAllData" ma:web="155b133d-d04f-4c4e-8fac-50cf7878c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D2B7B-8CD0-4489-834B-4520AF6D805D}">
  <ds:schemaRefs>
    <ds:schemaRef ds:uri="http://schemas.microsoft.com/sharepoint/v3/contenttype/forms"/>
  </ds:schemaRefs>
</ds:datastoreItem>
</file>

<file path=customXml/itemProps2.xml><?xml version="1.0" encoding="utf-8"?>
<ds:datastoreItem xmlns:ds="http://schemas.openxmlformats.org/officeDocument/2006/customXml" ds:itemID="{E810A53F-8099-4179-B972-99D62319C635}">
  <ds:schemaRefs>
    <ds:schemaRef ds:uri="http://schemas.microsoft.com/office/2006/metadata/properties"/>
    <ds:schemaRef ds:uri="http://schemas.microsoft.com/office/infopath/2007/PartnerControls"/>
    <ds:schemaRef ds:uri="155b133d-d04f-4c4e-8fac-50cf7878c64a"/>
    <ds:schemaRef ds:uri="0c6b66db-27f1-41a1-866c-4854429487d4"/>
  </ds:schemaRefs>
</ds:datastoreItem>
</file>

<file path=customXml/itemProps3.xml><?xml version="1.0" encoding="utf-8"?>
<ds:datastoreItem xmlns:ds="http://schemas.openxmlformats.org/officeDocument/2006/customXml" ds:itemID="{081A5B83-8D18-42CF-9054-2A2FFC8FB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b66db-27f1-41a1-866c-4854429487d4"/>
    <ds:schemaRef ds:uri="155b133d-d04f-4c4e-8fac-50cf7878c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2A61F-1DED-4C3E-8D74-86AF2A196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1383</Words>
  <Characters>7607</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de Microsoft Office</dc:creator>
  <cp:lastModifiedBy>goulet02</cp:lastModifiedBy>
  <cp:revision>16</cp:revision>
  <cp:lastPrinted>2024-01-15T20:59:00Z</cp:lastPrinted>
  <dcterms:created xsi:type="dcterms:W3CDTF">2024-02-02T09:45:00Z</dcterms:created>
  <dcterms:modified xsi:type="dcterms:W3CDTF">2024-07-12T11:52:00Z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0x010100387A35E6BD199E41AB0E1DED02458B61</vt:lpwstr>
  </property>
  <property fmtid="{D5CDD505-2E9C-101B-9397-08002B2CF9AE}" pid="3" name="MediaServiceImageTags">
    <vt:lpwstr/>
  </property>
</Properties>
</file>