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6E9" w:rsidRDefault="00000000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:rsidR="00DC26E9" w:rsidRDefault="00000000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:rsidR="00DC26E9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/>
    <w:p w:rsidR="00DC26E9" w:rsidRDefault="00DC26E9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DC26E9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:rsidR="00DC26E9" w:rsidRDefault="00DC26E9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DC26E9" w:rsidRDefault="00DC26E9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DC26E9" w:rsidRDefault="00000000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:rsidR="00DC26E9" w:rsidRDefault="00DC26E9">
      <w:pPr>
        <w:jc w:val="center"/>
        <w:rPr>
          <w:sz w:val="32"/>
        </w:rPr>
      </w:pPr>
    </w:p>
    <w:p w:rsidR="00DC26E9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Base de la motilité oculaire, de l’amblyopie et du strabisme</w:t>
      </w:r>
    </w:p>
    <w:p w:rsidR="00DC26E9" w:rsidRDefault="00DC26E9">
      <w:pPr>
        <w:jc w:val="center"/>
        <w:rPr>
          <w:b/>
          <w:caps/>
          <w:sz w:val="32"/>
        </w:rPr>
      </w:pPr>
    </w:p>
    <w:p w:rsidR="00DC26E9" w:rsidRDefault="00DC26E9">
      <w:pPr>
        <w:jc w:val="center"/>
        <w:rPr>
          <w:sz w:val="32"/>
        </w:rPr>
      </w:pPr>
    </w:p>
    <w:p w:rsidR="00DC26E9" w:rsidRDefault="00000000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:rsidR="00DC26E9" w:rsidRDefault="00DC26E9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</w:p>
    <w:p w:rsidR="00DC26E9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DOMAINE : SCIENCES DE LA SANTE PUBLIQUE</w:t>
      </w:r>
    </w:p>
    <w:p w:rsidR="00DC26E9" w:rsidRDefault="00DC26E9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:rsidR="00DC26E9" w:rsidRDefault="00DC26E9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:rsidR="00DC26E9" w:rsidRDefault="00DC26E9">
      <w:pPr>
        <w:jc w:val="center"/>
      </w:pPr>
    </w:p>
    <w:p w:rsidR="00DC26E9" w:rsidRDefault="00DC26E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DC26E9">
        <w:tc>
          <w:tcPr>
            <w:tcW w:w="5529" w:type="dxa"/>
          </w:tcPr>
          <w:p w:rsidR="00DC26E9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 : 91 43 17</w:t>
            </w:r>
            <w:r>
              <w:rPr>
                <w:rFonts w:ascii="Times New Roman" w:hAnsi="Times New Roman"/>
                <w:b/>
                <w:lang w:val="nl-NL"/>
              </w:rPr>
              <w:t xml:space="preserve"> U34 D3</w:t>
            </w:r>
          </w:p>
        </w:tc>
      </w:tr>
      <w:tr w:rsidR="00DC26E9">
        <w:tc>
          <w:tcPr>
            <w:tcW w:w="5529" w:type="dxa"/>
          </w:tcPr>
          <w:p w:rsidR="00DC26E9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905</w:t>
            </w:r>
          </w:p>
        </w:tc>
      </w:tr>
      <w:tr w:rsidR="00DC26E9">
        <w:tc>
          <w:tcPr>
            <w:tcW w:w="5529" w:type="dxa"/>
          </w:tcPr>
          <w:p w:rsidR="00DC26E9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:rsidR="00DC26E9" w:rsidRDefault="00DC26E9">
      <w:pPr>
        <w:jc w:val="center"/>
      </w:pPr>
    </w:p>
    <w:p w:rsidR="00DC26E9" w:rsidRDefault="00DC26E9">
      <w:pPr>
        <w:jc w:val="center"/>
      </w:pPr>
    </w:p>
    <w:p w:rsidR="00DC26E9" w:rsidRDefault="00DC26E9">
      <w:pPr>
        <w:jc w:val="center"/>
      </w:pPr>
    </w:p>
    <w:p w:rsidR="00DC26E9" w:rsidRDefault="00DC26E9">
      <w:pPr>
        <w:jc w:val="center"/>
        <w:rPr>
          <w:b/>
        </w:rPr>
      </w:pPr>
    </w:p>
    <w:p w:rsidR="00DC26E9" w:rsidRDefault="00000000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39159E" w:rsidRPr="0039159E">
        <w:rPr>
          <w:b/>
        </w:rPr>
        <w:t>11 juin 2024</w:t>
      </w:r>
      <w:r>
        <w:rPr>
          <w:b/>
        </w:rPr>
        <w:t>,</w:t>
      </w:r>
    </w:p>
    <w:p w:rsidR="00DC26E9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p w:rsidR="00DC26E9" w:rsidRDefault="00000000">
      <w:pPr>
        <w:rPr>
          <w:b/>
        </w:rPr>
      </w:pPr>
      <w:r>
        <w:rPr>
          <w:b/>
        </w:rPr>
        <w:br w:type="page"/>
      </w:r>
    </w:p>
    <w:p w:rsidR="00DC26E9" w:rsidRDefault="00DC26E9">
      <w:pPr>
        <w:jc w:val="center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26E9">
        <w:tc>
          <w:tcPr>
            <w:tcW w:w="9142" w:type="dxa"/>
          </w:tcPr>
          <w:p w:rsidR="00DC26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br w:type="page"/>
            </w:r>
          </w:p>
          <w:p w:rsidR="00DC26E9" w:rsidRDefault="00000000">
            <w:pPr>
              <w:spacing w:after="120"/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28"/>
                <w:szCs w:val="28"/>
              </w:rPr>
              <w:t>Base de la motilité oculaire, de l’amblyopie et du strabisme</w:t>
            </w:r>
          </w:p>
          <w:p w:rsidR="00DC26E9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ENSEIGNEMENT SUPERIEUR DE TYPE COURT</w:t>
            </w:r>
          </w:p>
          <w:p w:rsidR="00DC26E9" w:rsidRDefault="00DC26E9">
            <w:pPr>
              <w:jc w:val="center"/>
              <w:rPr>
                <w:b/>
              </w:rPr>
            </w:pPr>
          </w:p>
        </w:tc>
      </w:tr>
    </w:tbl>
    <w:p w:rsidR="00DC26E9" w:rsidRDefault="00DC26E9"/>
    <w:p w:rsidR="00DC26E9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:rsidR="00DC26E9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:rsidR="00DC26E9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:rsidR="00DC26E9" w:rsidRDefault="00000000">
      <w:pPr>
        <w:numPr>
          <w:ilvl w:val="0"/>
          <w:numId w:val="10"/>
        </w:numPr>
        <w:tabs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:rsidR="00DC26E9" w:rsidRDefault="00000000">
      <w:pPr>
        <w:numPr>
          <w:ilvl w:val="0"/>
          <w:numId w:val="10"/>
        </w:numPr>
        <w:tabs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:rsidR="00DC26E9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:rsidR="00DC26E9" w:rsidRDefault="00000000">
      <w:pPr>
        <w:spacing w:after="120"/>
        <w:ind w:left="851"/>
        <w:jc w:val="both"/>
      </w:pPr>
      <w:bookmarkStart w:id="0" w:name="_Hlk531353493"/>
      <w:r>
        <w:t>Cette unité d’enseignement vise à permettre à l’étudiant de s’initier</w:t>
      </w:r>
      <w:bookmarkEnd w:id="0"/>
      <w:r>
        <w:t xml:space="preserve"> au fonctionnement de la vision binoculaire, du système visuel sensori-moteur, d’identifier les strabismes et d’aborder les méthodes d’examen.</w:t>
      </w:r>
    </w:p>
    <w:p w:rsidR="00DC26E9" w:rsidRDefault="00DC26E9">
      <w:pPr>
        <w:tabs>
          <w:tab w:val="num" w:pos="1494"/>
        </w:tabs>
        <w:spacing w:after="120"/>
        <w:ind w:left="1134"/>
        <w:jc w:val="both"/>
        <w:rPr>
          <w:b/>
          <w:szCs w:val="22"/>
          <w:lang w:val="fr-BE"/>
        </w:rPr>
      </w:pPr>
    </w:p>
    <w:p w:rsidR="00DC26E9" w:rsidRDefault="00000000">
      <w:pPr>
        <w:spacing w:after="120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CAPACITES PREALABLES REQUISES </w:t>
      </w:r>
    </w:p>
    <w:p w:rsidR="00DC26E9" w:rsidRDefault="00000000">
      <w:pPr>
        <w:numPr>
          <w:ilvl w:val="1"/>
          <w:numId w:val="3"/>
        </w:numPr>
        <w:tabs>
          <w:tab w:val="clear" w:pos="860"/>
          <w:tab w:val="num" w:pos="719"/>
        </w:tabs>
        <w:spacing w:after="120"/>
        <w:ind w:left="719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:rsidR="00DC26E9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mathématiques,</w:t>
      </w:r>
    </w:p>
    <w:p w:rsidR="00DC26E9" w:rsidRDefault="00000000">
      <w:pPr>
        <w:numPr>
          <w:ilvl w:val="0"/>
          <w:numId w:val="11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analyser les composants d’une situation-problème ;</w:t>
      </w:r>
    </w:p>
    <w:p w:rsidR="00DC26E9" w:rsidRDefault="00000000">
      <w:pPr>
        <w:numPr>
          <w:ilvl w:val="0"/>
          <w:numId w:val="11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résoudre un problème à partir d’un ensemble d’informations et, s’il échet, représenter graphiquement les données et la solution du problème ;</w:t>
      </w:r>
    </w:p>
    <w:p w:rsidR="00DC26E9" w:rsidRDefault="00000000">
      <w:pPr>
        <w:numPr>
          <w:ilvl w:val="0"/>
          <w:numId w:val="11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interpréter la ou les solutions.</w:t>
      </w:r>
    </w:p>
    <w:p w:rsidR="00DC26E9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français,</w:t>
      </w:r>
    </w:p>
    <w:p w:rsidR="00DC26E9" w:rsidRDefault="00000000">
      <w:pPr>
        <w:numPr>
          <w:ilvl w:val="0"/>
          <w:numId w:val="11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rédiger un résumé d’un texte d’intérêt général ou de vulgarisation scientifique ;</w:t>
      </w:r>
    </w:p>
    <w:p w:rsidR="00DC26E9" w:rsidRDefault="00000000">
      <w:pPr>
        <w:numPr>
          <w:ilvl w:val="0"/>
          <w:numId w:val="11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 xml:space="preserve">produire une réflexion critique, structurée, pertinente et cohérente. </w:t>
      </w:r>
    </w:p>
    <w:p w:rsidR="00DC26E9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:rsidR="00DC26E9" w:rsidRDefault="00000000">
      <w:pPr>
        <w:pStyle w:val="Corpsdetexte"/>
        <w:ind w:left="567" w:firstLine="284"/>
        <w:jc w:val="both"/>
        <w:rPr>
          <w:szCs w:val="22"/>
        </w:rPr>
      </w:pPr>
      <w:r>
        <w:rPr>
          <w:szCs w:val="22"/>
        </w:rPr>
        <w:t>Certificat d'enseignement secondaire supérieur (C.E.S.S.).</w:t>
      </w:r>
    </w:p>
    <w:p w:rsidR="00DC26E9" w:rsidRDefault="00000000">
      <w:pPr>
        <w:rPr>
          <w:szCs w:val="22"/>
        </w:rPr>
      </w:pPr>
      <w:r>
        <w:rPr>
          <w:szCs w:val="22"/>
        </w:rPr>
        <w:br w:type="page"/>
      </w:r>
    </w:p>
    <w:p w:rsidR="00DC26E9" w:rsidRDefault="00000000">
      <w:pPr>
        <w:pStyle w:val="Notedebasdepage"/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:rsidR="00DC26E9" w:rsidRDefault="00000000">
      <w:pPr>
        <w:spacing w:after="120"/>
        <w:ind w:firstLine="426"/>
        <w:jc w:val="both"/>
        <w:rPr>
          <w:szCs w:val="22"/>
        </w:rPr>
      </w:pPr>
      <w:bookmarkStart w:id="1" w:name="_Hlk147739306"/>
      <w:r>
        <w:rPr>
          <w:b/>
          <w:szCs w:val="22"/>
        </w:rPr>
        <w:t>Pour atteindre le seuil de réussite, l’étudiant sera capable de</w:t>
      </w:r>
      <w:r>
        <w:rPr>
          <w:szCs w:val="22"/>
        </w:rPr>
        <w:t xml:space="preserve"> :</w:t>
      </w:r>
    </w:p>
    <w:p w:rsidR="00DC26E9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pour une situation issue de la vie professionnelle,</w:t>
      </w:r>
    </w:p>
    <w:p w:rsidR="00DC26E9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>en disposant de l’équipement, des instruments et du matériel requis,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différencier et de classifier les mécanismes de fonctionnement de la motilité oculaire ;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définir les éléments de la vision binoculaire ;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d’expliciter la mise en place de la vision binoculaire ;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d’identifier le type de strabisme concomitant.</w:t>
      </w:r>
    </w:p>
    <w:bookmarkEnd w:id="1"/>
    <w:p w:rsidR="00DC26E9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 :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d’organisation et de dextérité : la capacité d’organisation de l’environnement spatial et matériel propre au soin, la maitrise gestuelle et du timing,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pour former un ensemble organisé,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:rsidR="00DC26E9" w:rsidRDefault="00000000">
      <w:pPr>
        <w:numPr>
          <w:ilvl w:val="0"/>
          <w:numId w:val="12"/>
        </w:numPr>
        <w:tabs>
          <w:tab w:val="num" w:pos="284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solutions.</w:t>
      </w:r>
    </w:p>
    <w:p w:rsidR="00DC26E9" w:rsidRDefault="00DC26E9">
      <w:pPr>
        <w:spacing w:after="120"/>
        <w:jc w:val="both"/>
        <w:rPr>
          <w:b/>
          <w:szCs w:val="22"/>
        </w:rPr>
      </w:pPr>
    </w:p>
    <w:p w:rsidR="00DC26E9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:rsidR="00DC26E9" w:rsidRDefault="00000000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:rsidR="00DC26E9" w:rsidRDefault="00000000">
      <w:pPr>
        <w:spacing w:after="120"/>
        <w:ind w:left="426"/>
        <w:jc w:val="both"/>
        <w:rPr>
          <w:i/>
          <w:szCs w:val="22"/>
        </w:rPr>
      </w:pPr>
      <w:bookmarkStart w:id="2" w:name="_Hlk25853737"/>
      <w:bookmarkStart w:id="3" w:name="_Hlk26194138"/>
      <w:r>
        <w:rPr>
          <w:i/>
          <w:szCs w:val="22"/>
        </w:rPr>
        <w:t>face à des situations issues de la vie professionnelle relatives à la vision binoculaire, au strabisme, à l’amblyopie et au nystagmus,</w:t>
      </w:r>
    </w:p>
    <w:bookmarkEnd w:id="2"/>
    <w:p w:rsidR="00DC26E9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>en disposant de l’équipement, des instruments et du matériel requis,</w:t>
      </w:r>
    </w:p>
    <w:bookmarkEnd w:id="3"/>
    <w:p w:rsidR="00DC26E9" w:rsidRDefault="00000000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4.1. Laboratoire de vision binoculaire</w:t>
      </w:r>
    </w:p>
    <w:p w:rsidR="00DC26E9" w:rsidRDefault="00000000">
      <w:pPr>
        <w:pStyle w:val="paragraph"/>
        <w:numPr>
          <w:ilvl w:val="0"/>
          <w:numId w:val="13"/>
        </w:numPr>
        <w:spacing w:before="0" w:beforeAutospacing="0" w:after="12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bCs/>
          <w:sz w:val="22"/>
          <w:szCs w:val="22"/>
        </w:rPr>
        <w:t xml:space="preserve"> définir et d’expliquer </w:t>
      </w:r>
      <w:r>
        <w:rPr>
          <w:rStyle w:val="normaltextrun"/>
          <w:sz w:val="22"/>
          <w:szCs w:val="22"/>
          <w:lang w:val="fr-FR"/>
        </w:rPr>
        <w:t>la vision binoculaire normale et anormale (bases sensorimotrices) ;</w:t>
      </w:r>
    </w:p>
    <w:p w:rsidR="00DC26E9" w:rsidRDefault="00000000">
      <w:pPr>
        <w:numPr>
          <w:ilvl w:val="0"/>
          <w:numId w:val="13"/>
        </w:numPr>
        <w:spacing w:after="120"/>
        <w:jc w:val="both"/>
        <w:rPr>
          <w:bCs/>
          <w:szCs w:val="22"/>
        </w:rPr>
      </w:pPr>
      <w:r>
        <w:rPr>
          <w:bCs/>
          <w:szCs w:val="22"/>
        </w:rPr>
        <w:t>de définir et d’expliquer les mécanismes de l’accommodation et de la convergence et d’établir leurs relations avec l’amétropie ;</w:t>
      </w:r>
    </w:p>
    <w:p w:rsidR="00DC26E9" w:rsidRDefault="00000000">
      <w:pPr>
        <w:numPr>
          <w:ilvl w:val="0"/>
          <w:numId w:val="13"/>
        </w:numPr>
        <w:spacing w:after="120"/>
        <w:jc w:val="both"/>
        <w:rPr>
          <w:bCs/>
          <w:szCs w:val="22"/>
        </w:rPr>
      </w:pPr>
      <w:r>
        <w:rPr>
          <w:bCs/>
          <w:szCs w:val="22"/>
        </w:rPr>
        <w:t>d’expliquer et de réaliser les différentes étapes (et leur déroulement) de l’examen de la vision binoculaire ;</w:t>
      </w:r>
    </w:p>
    <w:p w:rsidR="00DC26E9" w:rsidRDefault="00000000">
      <w:pPr>
        <w:numPr>
          <w:ilvl w:val="0"/>
          <w:numId w:val="13"/>
        </w:numPr>
        <w:spacing w:after="120"/>
        <w:jc w:val="both"/>
        <w:rPr>
          <w:bCs/>
          <w:szCs w:val="22"/>
        </w:rPr>
      </w:pPr>
      <w:r>
        <w:rPr>
          <w:bCs/>
          <w:szCs w:val="22"/>
        </w:rPr>
        <w:t>d’interpréter des résultats en vue de formuler un pré-diagnostic ;</w:t>
      </w:r>
    </w:p>
    <w:p w:rsidR="00DC26E9" w:rsidRDefault="00000000">
      <w:pPr>
        <w:numPr>
          <w:ilvl w:val="0"/>
          <w:numId w:val="13"/>
        </w:numPr>
        <w:tabs>
          <w:tab w:val="num" w:pos="709"/>
        </w:tabs>
        <w:autoSpaceDE w:val="0"/>
        <w:autoSpaceDN w:val="0"/>
        <w:spacing w:after="120"/>
        <w:ind w:right="-143"/>
        <w:jc w:val="both"/>
        <w:rPr>
          <w:szCs w:val="22"/>
        </w:rPr>
      </w:pPr>
      <w:r>
        <w:rPr>
          <w:szCs w:val="22"/>
        </w:rPr>
        <w:t>d’expliquer pour chaque étape de la réfraction, le but, les moyens, les principes, les méthodes objectives et subjectives à disposition et de justifier l’interprétation des résultats.</w:t>
      </w:r>
    </w:p>
    <w:p w:rsidR="00DC26E9" w:rsidRDefault="00000000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4.2. Laboratoire de motilité oculaire</w:t>
      </w:r>
    </w:p>
    <w:p w:rsidR="00DC26E9" w:rsidRDefault="00000000">
      <w:pPr>
        <w:pStyle w:val="Paragraphedeliste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différencier les systèmes visuels sensoriel et moteur ;</w:t>
      </w:r>
    </w:p>
    <w:p w:rsidR="00DC26E9" w:rsidRDefault="00000000">
      <w:pPr>
        <w:pStyle w:val="Paragraphedeliste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définir des éléments de sensorialité indispensables à la compréhension de l’oculomotricité (direction visuelle, correspondance rétinienne, fusion sensorielle et fusion motrice, disparité et disparité de fixation, stéréoscopie …) ;</w:t>
      </w:r>
    </w:p>
    <w:p w:rsidR="00DC26E9" w:rsidRDefault="00000000">
      <w:pPr>
        <w:pStyle w:val="Paragraphedeliste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d’exposer le système de contrôle visuo-moteur (nature des mouvements oculaires, système de stabilisation et de capture d’image) ;</w:t>
      </w:r>
    </w:p>
    <w:p w:rsidR="00DC26E9" w:rsidRDefault="00000000">
      <w:pPr>
        <w:numPr>
          <w:ilvl w:val="0"/>
          <w:numId w:val="12"/>
        </w:numPr>
        <w:spacing w:after="120"/>
        <w:jc w:val="both"/>
        <w:rPr>
          <w:bCs/>
          <w:szCs w:val="22"/>
        </w:rPr>
      </w:pPr>
      <w:r>
        <w:rPr>
          <w:bCs/>
          <w:szCs w:val="22"/>
        </w:rPr>
        <w:lastRenderedPageBreak/>
        <w:t>d’expliquer et de réaliser les différentes étapes (et leur déroulement) de l’examen de la motilité oculaire ;</w:t>
      </w:r>
    </w:p>
    <w:p w:rsidR="00DC26E9" w:rsidRDefault="00000000">
      <w:pPr>
        <w:pStyle w:val="Paragraphedeliste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présenter le fonctionnement et le rôle joué par les muscles oculomoteurs : origine et insertion anatomique et fonctionnelle, caractéristiques, actions et force des muscles oculomoteurs, lois fondamentales de l’oculomotricité ;</w:t>
      </w:r>
    </w:p>
    <w:p w:rsidR="00DC26E9" w:rsidRDefault="00000000">
      <w:pPr>
        <w:numPr>
          <w:ilvl w:val="0"/>
          <w:numId w:val="15"/>
        </w:numPr>
        <w:tabs>
          <w:tab w:val="num" w:pos="1134"/>
        </w:tabs>
        <w:autoSpaceDE w:val="0"/>
        <w:autoSpaceDN w:val="0"/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de décrire les muscles extra-oculaires en expliquant les interactions visuo-vestibulaires et le contrôle supra-nucléaire des mouvements oculaires :</w:t>
      </w:r>
    </w:p>
    <w:p w:rsidR="00DC26E9" w:rsidRDefault="00000000">
      <w:pPr>
        <w:pStyle w:val="Paragraphedeliste"/>
        <w:numPr>
          <w:ilvl w:val="0"/>
          <w:numId w:val="16"/>
        </w:numPr>
        <w:spacing w:after="120"/>
        <w:ind w:left="1418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décrire l’œil immobile (géométrie oculaire : axes, angles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et kappa), et notamment l'insertion, la spécificité, la proprioception, la force, la contraction, la rapidité et la précision des muscles extra-oculaires,</w:t>
      </w:r>
    </w:p>
    <w:p w:rsidR="00DC26E9" w:rsidRDefault="00000000">
      <w:pPr>
        <w:pStyle w:val="Paragraphedeliste"/>
        <w:numPr>
          <w:ilvl w:val="0"/>
          <w:numId w:val="16"/>
        </w:numPr>
        <w:spacing w:after="120"/>
        <w:ind w:left="1418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décrire l’œil en mouvement en expliquant les mouvements isolés des muscles, les schémas Baillart-Marquez et l’action des obliques, les versions et les vergences et les muscles synergiques et antagonistes.</w:t>
      </w:r>
    </w:p>
    <w:p w:rsidR="00DC26E9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4.3. Laboratoire d’amblyopie et de strabisme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définir, de classifier et de décrire les différents types de strabisme (étiologies, description clinique, examens cliniques, diagnostic différentiel) et, pour chaque type, d'en préciser la période d’apparition et d’en prévoir l'évolution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développer les critères de classification des amblyopies et du nystagmus, d’en expliquer la physiopathologie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s’exercer à la pratique d’analyses cliniques des amblyopies et du nystagmus afin de les caractériser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concevoir une anamnèse adaptée au cas spécifique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pratiquer les méthodes d'examens spécifiques, de sélectionner les tests à effectuer et de justifier son choix en vue de caractériser la déviation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planifier la prise en charge et d’en assurer le suivi ou de diriger le patient vers d’autres professionnels ;</w:t>
      </w:r>
    </w:p>
    <w:p w:rsidR="00DC26E9" w:rsidRDefault="00000000">
      <w:pPr>
        <w:numPr>
          <w:ilvl w:val="0"/>
          <w:numId w:val="14"/>
        </w:numPr>
        <w:tabs>
          <w:tab w:val="num" w:pos="1276"/>
        </w:tabs>
        <w:autoSpaceDE w:val="0"/>
        <w:autoSpaceDN w:val="0"/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proposer et de justifier la prise en charge ainsi que le suivi de l’amblyopie ou de l’éventuel risque d’amblyopie.</w:t>
      </w:r>
    </w:p>
    <w:p w:rsidR="00DC26E9" w:rsidRDefault="00000000">
      <w:pPr>
        <w:spacing w:after="120"/>
        <w:jc w:val="both"/>
        <w:rPr>
          <w:szCs w:val="22"/>
        </w:rPr>
      </w:pPr>
      <w:r>
        <w:rPr>
          <w:szCs w:val="22"/>
        </w:rPr>
        <w:br w:type="page"/>
      </w:r>
    </w:p>
    <w:p w:rsidR="00DC26E9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:rsidR="00DC26E9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Il est recommandé de ne pas dépasser trois étudiants par poste de travail.</w:t>
      </w:r>
    </w:p>
    <w:p w:rsidR="00DC26E9" w:rsidRDefault="00DC26E9">
      <w:pPr>
        <w:spacing w:after="120"/>
        <w:ind w:left="567" w:hanging="141"/>
        <w:jc w:val="both"/>
        <w:rPr>
          <w:szCs w:val="22"/>
        </w:rPr>
      </w:pPr>
    </w:p>
    <w:p w:rsidR="00DC26E9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:rsidR="00DC26E9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:rsidR="00DC26E9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:rsidR="00DC26E9" w:rsidRDefault="00DC26E9">
      <w:pPr>
        <w:spacing w:after="120"/>
        <w:ind w:left="709" w:hanging="283"/>
        <w:jc w:val="both"/>
        <w:rPr>
          <w:szCs w:val="22"/>
        </w:rPr>
      </w:pPr>
    </w:p>
    <w:p w:rsidR="00DC26E9" w:rsidRDefault="00000000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:rsidR="00DC26E9" w:rsidRDefault="00DC26E9">
      <w:pPr>
        <w:ind w:left="426"/>
        <w:rPr>
          <w:b/>
        </w:rPr>
      </w:pPr>
    </w:p>
    <w:tbl>
      <w:tblPr>
        <w:tblW w:w="8930" w:type="dxa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992"/>
        <w:gridCol w:w="1701"/>
      </w:tblGrid>
      <w:tr w:rsidR="00DC26E9">
        <w:tc>
          <w:tcPr>
            <w:tcW w:w="4819" w:type="dxa"/>
          </w:tcPr>
          <w:p w:rsidR="00DC26E9" w:rsidRDefault="00DC26E9">
            <w:pPr>
              <w:ind w:left="71"/>
              <w:rPr>
                <w:szCs w:val="22"/>
              </w:rPr>
            </w:pPr>
          </w:p>
          <w:p w:rsidR="00DC26E9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:rsidR="00DC26E9" w:rsidRDefault="00DC26E9">
            <w:pPr>
              <w:ind w:left="71"/>
              <w:rPr>
                <w:szCs w:val="22"/>
              </w:rPr>
            </w:pPr>
          </w:p>
        </w:tc>
        <w:tc>
          <w:tcPr>
            <w:tcW w:w="1418" w:type="dxa"/>
          </w:tcPr>
          <w:p w:rsidR="00DC26E9" w:rsidRDefault="00DC26E9">
            <w:pPr>
              <w:jc w:val="center"/>
              <w:rPr>
                <w:b/>
                <w:szCs w:val="22"/>
              </w:rPr>
            </w:pPr>
          </w:p>
          <w:p w:rsidR="00DC26E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:rsidR="00DC26E9" w:rsidRDefault="00DC26E9">
            <w:pPr>
              <w:rPr>
                <w:b/>
                <w:szCs w:val="22"/>
              </w:rPr>
            </w:pPr>
          </w:p>
          <w:p w:rsidR="00DC26E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701" w:type="dxa"/>
          </w:tcPr>
          <w:p w:rsidR="00DC26E9" w:rsidRDefault="00DC26E9">
            <w:pPr>
              <w:jc w:val="center"/>
              <w:rPr>
                <w:b/>
                <w:szCs w:val="22"/>
              </w:rPr>
            </w:pPr>
          </w:p>
          <w:p w:rsidR="00DC26E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DC26E9">
        <w:tc>
          <w:tcPr>
            <w:tcW w:w="4819" w:type="dxa"/>
            <w:tcBorders>
              <w:bottom w:val="single" w:sz="4" w:space="0" w:color="auto"/>
            </w:tcBorders>
          </w:tcPr>
          <w:p w:rsidR="00DC26E9" w:rsidRDefault="00000000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Laboratoire de vision binoculaire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6E9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</w:tr>
      <w:tr w:rsidR="00DC26E9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C26E9" w:rsidRDefault="00000000">
            <w:pPr>
              <w:rPr>
                <w:szCs w:val="22"/>
              </w:rPr>
            </w:pPr>
            <w:r>
              <w:rPr>
                <w:szCs w:val="22"/>
              </w:rPr>
              <w:t>Laboratoire de motilité oculaire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26E9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</w:tr>
      <w:tr w:rsidR="00DC26E9"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DC26E9" w:rsidRDefault="00000000">
            <w:pPr>
              <w:rPr>
                <w:szCs w:val="22"/>
              </w:rPr>
            </w:pPr>
            <w:r>
              <w:rPr>
                <w:szCs w:val="22"/>
              </w:rPr>
              <w:t>Laboratoire d’amblyopie et de strabisme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C26E9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</w:t>
            </w:r>
          </w:p>
        </w:tc>
      </w:tr>
      <w:tr w:rsidR="00DC26E9">
        <w:trPr>
          <w:cantSplit/>
        </w:trPr>
        <w:tc>
          <w:tcPr>
            <w:tcW w:w="6237" w:type="dxa"/>
            <w:gridSpan w:val="2"/>
            <w:tcBorders>
              <w:bottom w:val="single" w:sz="12" w:space="0" w:color="auto"/>
              <w:right w:val="nil"/>
            </w:tcBorders>
          </w:tcPr>
          <w:p w:rsidR="00DC26E9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:rsidR="00DC26E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C26E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14</w:t>
            </w:r>
          </w:p>
        </w:tc>
      </w:tr>
      <w:tr w:rsidR="00DC26E9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C26E9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C26E9" w:rsidRDefault="00DC26E9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C26E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70</w:t>
            </w:r>
          </w:p>
        </w:tc>
      </w:tr>
      <w:tr w:rsidR="00DC26E9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right w:val="nil"/>
            </w:tcBorders>
          </w:tcPr>
          <w:p w:rsidR="00DC26E9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:rsidR="00DC26E9" w:rsidRDefault="00DC26E9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26E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5</w:t>
            </w:r>
          </w:p>
        </w:tc>
      </w:tr>
    </w:tbl>
    <w:p w:rsidR="00DC26E9" w:rsidRDefault="00DC26E9"/>
    <w:sectPr w:rsidR="00DC2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7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D61" w:rsidRDefault="00165D61">
      <w:r>
        <w:separator/>
      </w:r>
    </w:p>
  </w:endnote>
  <w:endnote w:type="continuationSeparator" w:id="0">
    <w:p w:rsidR="00165D61" w:rsidRDefault="0016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DC26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000000">
    <w:pPr>
      <w:pStyle w:val="Pieddepage"/>
      <w:rPr>
        <w:color w:val="002060"/>
        <w:sz w:val="20"/>
      </w:rPr>
    </w:pPr>
    <w:r>
      <w:rPr>
        <w:color w:val="002060"/>
        <w:sz w:val="20"/>
      </w:rPr>
      <w:t>Base de la motilité oculaire, de l’amblyopie et du strabisme</w:t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DC26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D61" w:rsidRDefault="00165D61">
      <w:r>
        <w:separator/>
      </w:r>
    </w:p>
  </w:footnote>
  <w:footnote w:type="continuationSeparator" w:id="0">
    <w:p w:rsidR="00165D61" w:rsidRDefault="0016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DC26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DC26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6E9" w:rsidRDefault="00DC26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698"/>
        </w:tabs>
        <w:ind w:left="1698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3" w15:restartNumberingAfterBreak="0">
    <w:nsid w:val="17E308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375030A"/>
    <w:multiLevelType w:val="singleLevel"/>
    <w:tmpl w:val="26DE84D0"/>
    <w:lvl w:ilvl="0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cs="Times New Roman" w:hint="default"/>
        <w:strike w:val="0"/>
        <w:sz w:val="22"/>
        <w:szCs w:val="22"/>
      </w:rPr>
    </w:lvl>
  </w:abstractNum>
  <w:abstractNum w:abstractNumId="6" w15:restartNumberingAfterBreak="0">
    <w:nsid w:val="3A016B0D"/>
    <w:multiLevelType w:val="hybridMultilevel"/>
    <w:tmpl w:val="CC58EA50"/>
    <w:lvl w:ilvl="0" w:tplc="8B6058A4">
      <w:start w:val="1"/>
      <w:numFmt w:val="bullet"/>
      <w:lvlText w:val=""/>
      <w:lvlJc w:val="left"/>
      <w:pPr>
        <w:ind w:left="2420" w:hanging="360"/>
      </w:pPr>
      <w:rPr>
        <w:rFonts w:ascii="Symbol" w:hAnsi="Symbol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7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84703D2"/>
    <w:multiLevelType w:val="singleLevel"/>
    <w:tmpl w:val="5FDE33F2"/>
    <w:lvl w:ilvl="0">
      <w:start w:val="1"/>
      <w:numFmt w:val="bullet"/>
      <w:lvlText w:val="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1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0767C8"/>
    <w:multiLevelType w:val="singleLevel"/>
    <w:tmpl w:val="2C4E1D22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BE62DB6"/>
    <w:multiLevelType w:val="hybridMultilevel"/>
    <w:tmpl w:val="C9CADF78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15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 w16cid:durableId="1646540904">
    <w:abstractNumId w:val="1"/>
  </w:num>
  <w:num w:numId="2" w16cid:durableId="1867673506">
    <w:abstractNumId w:val="0"/>
  </w:num>
  <w:num w:numId="3" w16cid:durableId="1128013505">
    <w:abstractNumId w:val="10"/>
  </w:num>
  <w:num w:numId="4" w16cid:durableId="1592929381">
    <w:abstractNumId w:val="7"/>
  </w:num>
  <w:num w:numId="5" w16cid:durableId="705065468">
    <w:abstractNumId w:val="11"/>
  </w:num>
  <w:num w:numId="6" w16cid:durableId="432938553">
    <w:abstractNumId w:val="2"/>
  </w:num>
  <w:num w:numId="7" w16cid:durableId="1473326615">
    <w:abstractNumId w:val="15"/>
  </w:num>
  <w:num w:numId="8" w16cid:durableId="1896962097">
    <w:abstractNumId w:val="14"/>
  </w:num>
  <w:num w:numId="9" w16cid:durableId="2087802420">
    <w:abstractNumId w:val="4"/>
  </w:num>
  <w:num w:numId="10" w16cid:durableId="1105153730">
    <w:abstractNumId w:val="8"/>
  </w:num>
  <w:num w:numId="11" w16cid:durableId="1440487118">
    <w:abstractNumId w:val="9"/>
  </w:num>
  <w:num w:numId="12" w16cid:durableId="1758205496">
    <w:abstractNumId w:val="12"/>
  </w:num>
  <w:num w:numId="13" w16cid:durableId="2020766099">
    <w:abstractNumId w:val="13"/>
  </w:num>
  <w:num w:numId="14" w16cid:durableId="888304718">
    <w:abstractNumId w:val="5"/>
  </w:num>
  <w:num w:numId="15" w16cid:durableId="486167504">
    <w:abstractNumId w:val="3"/>
  </w:num>
  <w:num w:numId="16" w16cid:durableId="60674069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E9"/>
    <w:rsid w:val="00165D61"/>
    <w:rsid w:val="0039159E"/>
    <w:rsid w:val="00D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7A045E-0F6A-46B5-BC4A-DA7A4B8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6DA1-31E6-46BB-A858-85AB3DD7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1076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mathématico-scientifique</vt:lpstr>
    </vt:vector>
  </TitlesOfParts>
  <Company>EPS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mathématico-scientifique</dc:title>
  <dc:subject>graduat opticien-optométriste</dc:subject>
  <dc:creator>Martine Gillon</dc:creator>
  <cp:keywords/>
  <cp:lastModifiedBy>goulet02</cp:lastModifiedBy>
  <cp:revision>11</cp:revision>
  <cp:lastPrinted>2005-05-09T07:15:00Z</cp:lastPrinted>
  <dcterms:created xsi:type="dcterms:W3CDTF">2024-01-12T09:45:00Z</dcterms:created>
  <dcterms:modified xsi:type="dcterms:W3CDTF">2024-07-12T11:53:00Z</dcterms:modified>
</cp:coreProperties>
</file>