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A91E8" w14:textId="77777777" w:rsidR="0064486A" w:rsidRDefault="00000000">
      <w:pPr>
        <w:pStyle w:val="Texte"/>
        <w:jc w:val="center"/>
        <w:rPr>
          <w:rFonts w:ascii="Times New Roman" w:hAnsi="Times New Roman"/>
          <w:b/>
          <w:noProof w:val="0"/>
        </w:rPr>
      </w:pPr>
      <w:r>
        <w:rPr>
          <w:rFonts w:ascii="Times New Roman" w:hAnsi="Times New Roman"/>
          <w:b/>
          <w:noProof w:val="0"/>
        </w:rPr>
        <w:t>MINISTERE DE LA COMMUNAUTE FRANCAISE</w:t>
      </w:r>
    </w:p>
    <w:p w14:paraId="676C630F" w14:textId="77777777" w:rsidR="0064486A" w:rsidRDefault="0064486A">
      <w:pPr>
        <w:pStyle w:val="Texte"/>
        <w:jc w:val="center"/>
        <w:rPr>
          <w:rFonts w:ascii="Times New Roman" w:hAnsi="Times New Roman"/>
          <w:b/>
          <w:noProof w:val="0"/>
        </w:rPr>
      </w:pPr>
    </w:p>
    <w:p w14:paraId="44211CA7" w14:textId="77777777" w:rsidR="0064486A" w:rsidRDefault="00000000">
      <w:pPr>
        <w:pStyle w:val="Texte"/>
        <w:jc w:val="center"/>
        <w:rPr>
          <w:rFonts w:ascii="Times New Roman" w:hAnsi="Times New Roman"/>
          <w:b/>
          <w:noProof w:val="0"/>
          <w:sz w:val="20"/>
        </w:rPr>
      </w:pPr>
      <w:r>
        <w:rPr>
          <w:rFonts w:ascii="Times New Roman" w:hAnsi="Times New Roman"/>
          <w:b/>
          <w:noProof w:val="0"/>
          <w:sz w:val="20"/>
        </w:rPr>
        <w:t>ADMINISTRATION GENERALE DE L’ENSEIGNEMENT</w:t>
      </w:r>
    </w:p>
    <w:p w14:paraId="45550337" w14:textId="77777777" w:rsidR="0064486A" w:rsidRDefault="0064486A">
      <w:pPr>
        <w:pStyle w:val="Texte"/>
        <w:jc w:val="center"/>
        <w:rPr>
          <w:rFonts w:ascii="Times New Roman" w:hAnsi="Times New Roman"/>
          <w:noProof w:val="0"/>
        </w:rPr>
      </w:pPr>
    </w:p>
    <w:p w14:paraId="696938EF" w14:textId="77777777" w:rsidR="0064486A" w:rsidRDefault="00000000">
      <w:pPr>
        <w:pStyle w:val="Texte"/>
        <w:jc w:val="center"/>
        <w:rPr>
          <w:rFonts w:ascii="Times New Roman" w:hAnsi="Times New Roman"/>
          <w:b/>
          <w:noProof w:val="0"/>
        </w:rPr>
      </w:pPr>
      <w:r>
        <w:rPr>
          <w:rFonts w:ascii="Times New Roman" w:hAnsi="Times New Roman"/>
          <w:b/>
          <w:noProof w:val="0"/>
        </w:rPr>
        <w:t>ENSEIGNEMENT DE PROMOTION SOCIALE</w:t>
      </w:r>
    </w:p>
    <w:p w14:paraId="04BA0E81" w14:textId="77777777" w:rsidR="0064486A" w:rsidRDefault="0064486A">
      <w:pPr>
        <w:jc w:val="center"/>
      </w:pPr>
    </w:p>
    <w:p w14:paraId="70CB30FE" w14:textId="77777777" w:rsidR="0064486A" w:rsidRDefault="0064486A">
      <w:pPr>
        <w:jc w:val="center"/>
      </w:pPr>
    </w:p>
    <w:p w14:paraId="3E238113" w14:textId="77777777" w:rsidR="0064486A" w:rsidRDefault="0064486A">
      <w:pPr>
        <w:jc w:val="center"/>
      </w:pPr>
    </w:p>
    <w:p w14:paraId="731B9908" w14:textId="77777777" w:rsidR="0064486A" w:rsidRDefault="0064486A">
      <w:pPr>
        <w:jc w:val="center"/>
      </w:pPr>
    </w:p>
    <w:p w14:paraId="04CAADAA" w14:textId="77777777" w:rsidR="0064486A" w:rsidRDefault="0064486A">
      <w:pPr>
        <w:jc w:val="center"/>
      </w:pPr>
    </w:p>
    <w:p w14:paraId="6E74F9A5" w14:textId="77777777" w:rsidR="0064486A" w:rsidRDefault="0064486A">
      <w:pPr>
        <w:jc w:val="center"/>
      </w:pPr>
    </w:p>
    <w:p w14:paraId="189A1333" w14:textId="77777777" w:rsidR="0064486A" w:rsidRDefault="0064486A">
      <w:pPr>
        <w:jc w:val="center"/>
      </w:pPr>
    </w:p>
    <w:p w14:paraId="69DF4080" w14:textId="77777777" w:rsidR="0064486A" w:rsidRDefault="0064486A">
      <w:pPr>
        <w:jc w:val="center"/>
      </w:pPr>
    </w:p>
    <w:p w14:paraId="34BA5873" w14:textId="77777777" w:rsidR="0064486A" w:rsidRDefault="0064486A">
      <w:pPr>
        <w:jc w:val="center"/>
      </w:pPr>
    </w:p>
    <w:p w14:paraId="6BE00778" w14:textId="77777777" w:rsidR="0064486A" w:rsidRDefault="0064486A">
      <w:pPr>
        <w:jc w:val="center"/>
      </w:pPr>
    </w:p>
    <w:p w14:paraId="0C8B82AE" w14:textId="77777777" w:rsidR="0064486A" w:rsidRDefault="0064486A">
      <w:pPr>
        <w:jc w:val="center"/>
      </w:pPr>
    </w:p>
    <w:p w14:paraId="5F20F8E4" w14:textId="77777777" w:rsidR="0064486A" w:rsidRDefault="0064486A">
      <w:pPr>
        <w:jc w:val="center"/>
      </w:pPr>
    </w:p>
    <w:p w14:paraId="0EF93F10" w14:textId="77777777" w:rsidR="0064486A" w:rsidRDefault="0064486A">
      <w:pPr>
        <w:jc w:val="center"/>
      </w:pPr>
    </w:p>
    <w:p w14:paraId="0AF50270" w14:textId="77777777" w:rsidR="0064486A" w:rsidRDefault="0064486A">
      <w:pPr>
        <w:jc w:val="center"/>
      </w:pPr>
    </w:p>
    <w:p w14:paraId="746B29F2" w14:textId="77777777" w:rsidR="0064486A" w:rsidRDefault="0064486A">
      <w:pPr>
        <w:jc w:val="center"/>
      </w:pPr>
    </w:p>
    <w:p w14:paraId="4E353002" w14:textId="77777777" w:rsidR="0064486A" w:rsidRDefault="0064486A">
      <w:pPr>
        <w:jc w:val="center"/>
      </w:pPr>
    </w:p>
    <w:p w14:paraId="697FA9BF" w14:textId="77777777" w:rsidR="0064486A" w:rsidRDefault="00000000">
      <w:pPr>
        <w:pStyle w:val="Texte"/>
        <w:ind w:left="2269" w:right="2602"/>
        <w:jc w:val="center"/>
        <w:rPr>
          <w:rFonts w:ascii="Times New Roman" w:hAnsi="Times New Roman"/>
          <w:b/>
          <w:noProof w:val="0"/>
          <w:sz w:val="28"/>
        </w:rPr>
      </w:pPr>
      <w:r>
        <w:rPr>
          <w:rFonts w:ascii="Times New Roman" w:hAnsi="Times New Roman"/>
          <w:b/>
          <w:noProof w:val="0"/>
          <w:sz w:val="28"/>
        </w:rPr>
        <w:t>DOSSIER PEDAGOGIQUE</w:t>
      </w:r>
    </w:p>
    <w:p w14:paraId="619FE93D" w14:textId="77777777" w:rsidR="0064486A" w:rsidRDefault="0064486A">
      <w:pPr>
        <w:jc w:val="center"/>
        <w:rPr>
          <w:b/>
          <w:sz w:val="28"/>
        </w:rPr>
      </w:pPr>
    </w:p>
    <w:p w14:paraId="4EC3B5BB" w14:textId="77777777" w:rsidR="0064486A" w:rsidRDefault="00000000">
      <w:pPr>
        <w:jc w:val="center"/>
        <w:rPr>
          <w:b/>
        </w:rPr>
      </w:pPr>
      <w:bookmarkStart w:id="0" w:name="_Hlk529793239"/>
      <w:r>
        <w:rPr>
          <w:b/>
        </w:rPr>
        <w:t>UNITE D’ENSEIGNEMENT</w:t>
      </w:r>
    </w:p>
    <w:p w14:paraId="451FA857" w14:textId="77777777" w:rsidR="0064486A" w:rsidRDefault="0064486A">
      <w:pPr>
        <w:spacing w:before="120"/>
        <w:jc w:val="center"/>
        <w:rPr>
          <w:b/>
        </w:rPr>
      </w:pPr>
    </w:p>
    <w:p w14:paraId="6A89F08A" w14:textId="77777777" w:rsidR="0064486A" w:rsidRDefault="0064486A">
      <w:pPr>
        <w:spacing w:before="120"/>
        <w:jc w:val="center"/>
        <w:rPr>
          <w:b/>
        </w:rPr>
      </w:pPr>
    </w:p>
    <w:bookmarkEnd w:id="0"/>
    <w:p w14:paraId="48DDBD4B" w14:textId="77777777" w:rsidR="0064486A" w:rsidRDefault="00000000">
      <w:pPr>
        <w:jc w:val="center"/>
        <w:rPr>
          <w:b/>
          <w:sz w:val="28"/>
          <w:szCs w:val="28"/>
        </w:rPr>
      </w:pPr>
      <w:r>
        <w:rPr>
          <w:b/>
          <w:sz w:val="28"/>
          <w:szCs w:val="28"/>
        </w:rPr>
        <w:t>SCIENCES OCULAIRES SPECIALISEES</w:t>
      </w:r>
    </w:p>
    <w:p w14:paraId="7DB3B3F1" w14:textId="77777777" w:rsidR="0064486A" w:rsidRDefault="0064486A">
      <w:pPr>
        <w:jc w:val="center"/>
        <w:rPr>
          <w:b/>
          <w:sz w:val="28"/>
          <w:szCs w:val="28"/>
        </w:rPr>
      </w:pPr>
    </w:p>
    <w:p w14:paraId="720B329D" w14:textId="77777777" w:rsidR="0064486A" w:rsidRDefault="0064486A">
      <w:pPr>
        <w:jc w:val="center"/>
        <w:rPr>
          <w:sz w:val="32"/>
        </w:rPr>
      </w:pPr>
    </w:p>
    <w:p w14:paraId="32A199DC" w14:textId="77777777" w:rsidR="0064486A" w:rsidRDefault="00000000">
      <w:pPr>
        <w:pStyle w:val="Texte"/>
        <w:spacing w:before="120"/>
        <w:jc w:val="center"/>
        <w:rPr>
          <w:rFonts w:ascii="Times New Roman" w:hAnsi="Times New Roman"/>
          <w:b/>
          <w:noProof w:val="0"/>
        </w:rPr>
      </w:pPr>
      <w:r>
        <w:rPr>
          <w:rFonts w:ascii="Times New Roman" w:hAnsi="Times New Roman"/>
          <w:b/>
          <w:noProof w:val="0"/>
        </w:rPr>
        <w:t xml:space="preserve">ENSEIGNEMENT </w:t>
      </w:r>
      <w:r>
        <w:rPr>
          <w:rFonts w:ascii="Times New Roman" w:hAnsi="Times New Roman"/>
          <w:b/>
          <w:caps/>
          <w:noProof w:val="0"/>
        </w:rPr>
        <w:t>SUPERIEUR DE TYPE COURT</w:t>
      </w:r>
    </w:p>
    <w:p w14:paraId="7C986B41" w14:textId="77777777" w:rsidR="0064486A" w:rsidRDefault="0064486A">
      <w:pPr>
        <w:jc w:val="center"/>
      </w:pPr>
    </w:p>
    <w:p w14:paraId="7E5790C0" w14:textId="77777777" w:rsidR="0064486A" w:rsidRDefault="00000000">
      <w:pPr>
        <w:pStyle w:val="Texte"/>
        <w:spacing w:before="120"/>
        <w:jc w:val="center"/>
        <w:rPr>
          <w:rFonts w:ascii="Times New Roman" w:hAnsi="Times New Roman"/>
          <w:b/>
          <w:noProof w:val="0"/>
        </w:rPr>
      </w:pPr>
      <w:bookmarkStart w:id="1" w:name="_Hlk529792902"/>
      <w:r>
        <w:rPr>
          <w:rFonts w:ascii="Times New Roman" w:hAnsi="Times New Roman"/>
          <w:b/>
          <w:noProof w:val="0"/>
        </w:rPr>
        <w:t>DOMAINE : SCIENCES DE LA SANTE PUBLIQUE</w:t>
      </w:r>
    </w:p>
    <w:bookmarkEnd w:id="1"/>
    <w:p w14:paraId="00590493" w14:textId="77777777" w:rsidR="0064486A" w:rsidRDefault="0064486A">
      <w:pPr>
        <w:jc w:val="center"/>
      </w:pPr>
    </w:p>
    <w:p w14:paraId="72112163" w14:textId="77777777" w:rsidR="0064486A" w:rsidRDefault="0064486A">
      <w:pPr>
        <w:jc w:val="center"/>
      </w:pPr>
    </w:p>
    <w:p w14:paraId="163AD6B1" w14:textId="77777777" w:rsidR="0064486A" w:rsidRDefault="0064486A">
      <w:pPr>
        <w:jc w:val="center"/>
      </w:pPr>
    </w:p>
    <w:p w14:paraId="6A4B1299" w14:textId="77777777" w:rsidR="0064486A" w:rsidRDefault="0064486A">
      <w:pPr>
        <w:jc w:val="center"/>
      </w:pPr>
    </w:p>
    <w:p w14:paraId="5D1570AA" w14:textId="77777777" w:rsidR="0064486A" w:rsidRDefault="0064486A">
      <w:pPr>
        <w:jc w:val="center"/>
      </w:pPr>
    </w:p>
    <w:p w14:paraId="1A9017FB" w14:textId="77777777" w:rsidR="0064486A" w:rsidRDefault="0064486A">
      <w:pPr>
        <w:jc w:val="center"/>
      </w:pPr>
    </w:p>
    <w:p w14:paraId="24F4B314" w14:textId="77777777" w:rsidR="0064486A" w:rsidRDefault="0064486A">
      <w:pPr>
        <w:jc w:val="cente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64486A" w14:paraId="01FD0CBF" w14:textId="77777777">
        <w:tc>
          <w:tcPr>
            <w:tcW w:w="5529" w:type="dxa"/>
          </w:tcPr>
          <w:p w14:paraId="5A86D743" w14:textId="77777777" w:rsidR="0064486A" w:rsidRDefault="00000000">
            <w:pPr>
              <w:pStyle w:val="Texte"/>
              <w:jc w:val="center"/>
              <w:rPr>
                <w:rFonts w:ascii="Times New Roman" w:hAnsi="Times New Roman"/>
                <w:b/>
                <w:noProof w:val="0"/>
                <w:lang w:val="nl-NL"/>
              </w:rPr>
            </w:pPr>
            <w:r>
              <w:rPr>
                <w:rFonts w:ascii="Times New Roman" w:hAnsi="Times New Roman"/>
                <w:b/>
                <w:noProof w:val="0"/>
                <w:lang w:val="nl-NL"/>
              </w:rPr>
              <w:t xml:space="preserve">CODE : 91 43 25 </w:t>
            </w:r>
            <w:r>
              <w:rPr>
                <w:rFonts w:ascii="Times New Roman" w:hAnsi="Times New Roman"/>
                <w:b/>
                <w:lang w:val="nl-NL"/>
              </w:rPr>
              <w:t>U34 D3</w:t>
            </w:r>
          </w:p>
        </w:tc>
      </w:tr>
      <w:tr w:rsidR="0064486A" w14:paraId="6EF8BC33" w14:textId="77777777">
        <w:tc>
          <w:tcPr>
            <w:tcW w:w="5529" w:type="dxa"/>
          </w:tcPr>
          <w:p w14:paraId="63DEA1F9" w14:textId="77777777" w:rsidR="0064486A" w:rsidRDefault="00000000">
            <w:pPr>
              <w:pStyle w:val="Texte"/>
              <w:jc w:val="center"/>
              <w:rPr>
                <w:rFonts w:ascii="Times New Roman" w:hAnsi="Times New Roman"/>
                <w:b/>
                <w:noProof w:val="0"/>
              </w:rPr>
            </w:pPr>
            <w:r>
              <w:rPr>
                <w:rFonts w:ascii="Times New Roman" w:hAnsi="Times New Roman"/>
                <w:b/>
                <w:noProof w:val="0"/>
              </w:rPr>
              <w:t>CODE DU DOMAINE DE FORMATION : 905</w:t>
            </w:r>
          </w:p>
        </w:tc>
      </w:tr>
      <w:tr w:rsidR="0064486A" w14:paraId="0A76E357" w14:textId="77777777">
        <w:tc>
          <w:tcPr>
            <w:tcW w:w="5529" w:type="dxa"/>
          </w:tcPr>
          <w:p w14:paraId="5758F334" w14:textId="77777777" w:rsidR="0064486A" w:rsidRDefault="00000000">
            <w:pPr>
              <w:pStyle w:val="Texte"/>
              <w:jc w:val="center"/>
              <w:rPr>
                <w:rFonts w:ascii="Times New Roman" w:hAnsi="Times New Roman"/>
                <w:noProof w:val="0"/>
              </w:rPr>
            </w:pPr>
            <w:r>
              <w:rPr>
                <w:rFonts w:ascii="Times New Roman" w:hAnsi="Times New Roman"/>
                <w:b/>
                <w:noProof w:val="0"/>
              </w:rPr>
              <w:t>DOCUMENT DE REFERENCE INTER-RESEAUX</w:t>
            </w:r>
          </w:p>
        </w:tc>
      </w:tr>
    </w:tbl>
    <w:p w14:paraId="0DFC4518" w14:textId="77777777" w:rsidR="0064486A" w:rsidRDefault="0064486A">
      <w:pPr>
        <w:jc w:val="center"/>
      </w:pPr>
    </w:p>
    <w:p w14:paraId="21F35DF2" w14:textId="77777777" w:rsidR="0064486A" w:rsidRDefault="0064486A">
      <w:pPr>
        <w:jc w:val="center"/>
      </w:pPr>
    </w:p>
    <w:p w14:paraId="1067D78C" w14:textId="77777777" w:rsidR="0064486A" w:rsidRDefault="0064486A">
      <w:pPr>
        <w:jc w:val="center"/>
      </w:pPr>
    </w:p>
    <w:p w14:paraId="7AC4C609" w14:textId="77777777" w:rsidR="0064486A" w:rsidRDefault="0064486A">
      <w:pPr>
        <w:jc w:val="center"/>
        <w:rPr>
          <w:b/>
        </w:rPr>
      </w:pPr>
    </w:p>
    <w:p w14:paraId="69EE3F9A" w14:textId="00B8DE9B" w:rsidR="0064486A" w:rsidRDefault="00000000">
      <w:pPr>
        <w:jc w:val="center"/>
        <w:rPr>
          <w:b/>
        </w:rPr>
      </w:pPr>
      <w:bookmarkStart w:id="2" w:name="_Hlk529793796"/>
      <w:r>
        <w:rPr>
          <w:b/>
        </w:rPr>
        <w:t xml:space="preserve">Approbation du Gouvernement de la Communauté française du </w:t>
      </w:r>
      <w:r w:rsidR="00D019DB" w:rsidRPr="00D019DB">
        <w:rPr>
          <w:b/>
        </w:rPr>
        <w:t>11 juin 2024</w:t>
      </w:r>
      <w:r>
        <w:rPr>
          <w:b/>
        </w:rPr>
        <w:t>,</w:t>
      </w:r>
    </w:p>
    <w:p w14:paraId="740AEC5B" w14:textId="77777777" w:rsidR="0064486A" w:rsidRDefault="00000000">
      <w:pPr>
        <w:jc w:val="center"/>
        <w:rPr>
          <w:b/>
        </w:rPr>
      </w:pPr>
      <w:r>
        <w:rPr>
          <w:b/>
        </w:rPr>
        <w:t>sur avis conforme de Conseil général</w:t>
      </w:r>
    </w:p>
    <w:p w14:paraId="621A5119" w14:textId="77777777" w:rsidR="0064486A" w:rsidRDefault="00000000">
      <w:pPr>
        <w:pStyle w:val="tableauc"/>
      </w:pPr>
      <w:r>
        <w:br w:type="page"/>
      </w:r>
      <w:bookmarkEnd w:id="2"/>
    </w:p>
    <w:tbl>
      <w:tblPr>
        <w:tblW w:w="9362" w:type="dxa"/>
        <w:tblInd w:w="-150" w:type="dxa"/>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362"/>
      </w:tblGrid>
      <w:tr w:rsidR="0064486A" w14:paraId="6A07A373" w14:textId="77777777">
        <w:tc>
          <w:tcPr>
            <w:tcW w:w="9362" w:type="dxa"/>
          </w:tcPr>
          <w:p w14:paraId="26A6179B" w14:textId="77777777" w:rsidR="0064486A" w:rsidRDefault="00000000">
            <w:pPr>
              <w:jc w:val="center"/>
              <w:rPr>
                <w:b/>
              </w:rPr>
            </w:pPr>
            <w:r>
              <w:rPr>
                <w:b/>
              </w:rPr>
              <w:lastRenderedPageBreak/>
              <w:br w:type="page"/>
            </w:r>
          </w:p>
          <w:p w14:paraId="4CE461E3" w14:textId="77777777" w:rsidR="0064486A" w:rsidRDefault="00000000">
            <w:pPr>
              <w:jc w:val="center"/>
              <w:rPr>
                <w:b/>
                <w:caps/>
                <w:sz w:val="28"/>
                <w:szCs w:val="28"/>
              </w:rPr>
            </w:pPr>
            <w:r>
              <w:rPr>
                <w:b/>
                <w:sz w:val="28"/>
                <w:szCs w:val="28"/>
              </w:rPr>
              <w:t>SCIENCES OCULAIRES SPECIALISEES</w:t>
            </w:r>
          </w:p>
          <w:p w14:paraId="708C0D5D" w14:textId="77777777" w:rsidR="0064486A" w:rsidRDefault="00000000">
            <w:pPr>
              <w:pStyle w:val="Texte"/>
              <w:spacing w:before="120"/>
              <w:jc w:val="center"/>
              <w:rPr>
                <w:rFonts w:ascii="Times New Roman" w:hAnsi="Times New Roman"/>
                <w:b/>
                <w:noProof w:val="0"/>
              </w:rPr>
            </w:pPr>
            <w:r>
              <w:rPr>
                <w:rFonts w:ascii="Times New Roman" w:hAnsi="Times New Roman"/>
                <w:b/>
                <w:noProof w:val="0"/>
              </w:rPr>
              <w:t xml:space="preserve">ENSEIGNEMENT </w:t>
            </w:r>
            <w:r>
              <w:rPr>
                <w:rFonts w:ascii="Times New Roman" w:hAnsi="Times New Roman"/>
                <w:b/>
                <w:caps/>
                <w:noProof w:val="0"/>
              </w:rPr>
              <w:t>SUPERIEUR DE TYPE COURT</w:t>
            </w:r>
          </w:p>
          <w:p w14:paraId="47E9A910" w14:textId="77777777" w:rsidR="0064486A" w:rsidRDefault="0064486A">
            <w:pPr>
              <w:jc w:val="center"/>
              <w:rPr>
                <w:b/>
              </w:rPr>
            </w:pPr>
          </w:p>
        </w:tc>
      </w:tr>
    </w:tbl>
    <w:p w14:paraId="42166E69" w14:textId="77777777" w:rsidR="0064486A" w:rsidRDefault="0064486A"/>
    <w:p w14:paraId="719680BE" w14:textId="77777777" w:rsidR="0064486A" w:rsidRDefault="00000000">
      <w:pPr>
        <w:tabs>
          <w:tab w:val="left" w:pos="426"/>
        </w:tabs>
        <w:spacing w:after="120"/>
        <w:jc w:val="both"/>
        <w:rPr>
          <w:b/>
          <w:szCs w:val="22"/>
        </w:rPr>
      </w:pPr>
      <w:bookmarkStart w:id="3" w:name="_Hlk529792943"/>
      <w:r>
        <w:rPr>
          <w:b/>
        </w:rPr>
        <w:t>1.</w:t>
      </w:r>
      <w:r>
        <w:rPr>
          <w:b/>
        </w:rPr>
        <w:tab/>
      </w:r>
      <w:r>
        <w:rPr>
          <w:b/>
          <w:szCs w:val="22"/>
        </w:rPr>
        <w:t>FINALITES DE L’UNITE D’ENSEIGNEMENT</w:t>
      </w:r>
    </w:p>
    <w:bookmarkEnd w:id="3"/>
    <w:p w14:paraId="35D5E79E" w14:textId="77777777" w:rsidR="0064486A" w:rsidRDefault="00000000">
      <w:pPr>
        <w:spacing w:after="120"/>
        <w:ind w:left="851" w:hanging="425"/>
        <w:jc w:val="both"/>
        <w:rPr>
          <w:b/>
          <w:szCs w:val="22"/>
        </w:rPr>
      </w:pPr>
      <w:r>
        <w:rPr>
          <w:b/>
          <w:szCs w:val="22"/>
        </w:rPr>
        <w:t>1.1.</w:t>
      </w:r>
      <w:r>
        <w:rPr>
          <w:b/>
          <w:szCs w:val="22"/>
        </w:rPr>
        <w:tab/>
        <w:t>Finalités générales</w:t>
      </w:r>
    </w:p>
    <w:p w14:paraId="6A237622" w14:textId="77777777" w:rsidR="0064486A" w:rsidRDefault="00000000">
      <w:pPr>
        <w:spacing w:after="120"/>
        <w:ind w:left="851"/>
        <w:jc w:val="both"/>
        <w:rPr>
          <w:szCs w:val="22"/>
        </w:rPr>
      </w:pPr>
      <w:r>
        <w:rPr>
          <w:szCs w:val="22"/>
        </w:rPr>
        <w:t>Conformément à l’article 7 du décret de la Communauté française du 16 avril 1991 organisant l'Enseignement de promotion sociale, cette unité d’enseignement doit :</w:t>
      </w:r>
    </w:p>
    <w:p w14:paraId="6D77D91B" w14:textId="77777777" w:rsidR="0064486A" w:rsidRDefault="00000000">
      <w:pPr>
        <w:numPr>
          <w:ilvl w:val="0"/>
          <w:numId w:val="2"/>
        </w:numPr>
        <w:tabs>
          <w:tab w:val="clear" w:pos="360"/>
          <w:tab w:val="num" w:pos="1134"/>
          <w:tab w:val="num" w:pos="1494"/>
        </w:tabs>
        <w:spacing w:after="120"/>
        <w:ind w:left="1134" w:hanging="283"/>
        <w:jc w:val="both"/>
        <w:rPr>
          <w:szCs w:val="22"/>
        </w:rPr>
      </w:pPr>
      <w:r>
        <w:rPr>
          <w:szCs w:val="22"/>
        </w:rPr>
        <w:t>concourir à l’épanouissement individuel en promouvant une meilleure insertion professionnelle, sociale, culturelle et scolaire ;</w:t>
      </w:r>
    </w:p>
    <w:p w14:paraId="29D0CA16" w14:textId="77777777" w:rsidR="0064486A" w:rsidRDefault="00000000">
      <w:pPr>
        <w:numPr>
          <w:ilvl w:val="0"/>
          <w:numId w:val="2"/>
        </w:numPr>
        <w:tabs>
          <w:tab w:val="clear" w:pos="360"/>
          <w:tab w:val="num" w:pos="1134"/>
          <w:tab w:val="num" w:pos="1494"/>
        </w:tabs>
        <w:spacing w:after="120"/>
        <w:ind w:left="1134" w:hanging="283"/>
        <w:jc w:val="both"/>
        <w:rPr>
          <w:szCs w:val="22"/>
        </w:rPr>
      </w:pPr>
      <w:r>
        <w:rPr>
          <w:szCs w:val="22"/>
        </w:rPr>
        <w:t>répondre aux besoins et demandes en formation émanant des entreprises, des administrations, de l’enseignement et, d’une manière générale, des milieux socio-économiques et culturels.</w:t>
      </w:r>
    </w:p>
    <w:p w14:paraId="49E56969" w14:textId="77777777" w:rsidR="0064486A" w:rsidRDefault="00000000">
      <w:pPr>
        <w:spacing w:after="120"/>
        <w:ind w:left="851" w:hanging="425"/>
        <w:jc w:val="both"/>
        <w:rPr>
          <w:b/>
          <w:szCs w:val="22"/>
        </w:rPr>
      </w:pPr>
      <w:r>
        <w:rPr>
          <w:b/>
          <w:szCs w:val="22"/>
        </w:rPr>
        <w:t>1.2.</w:t>
      </w:r>
      <w:r>
        <w:rPr>
          <w:b/>
          <w:szCs w:val="22"/>
        </w:rPr>
        <w:tab/>
        <w:t>Finalités particulières</w:t>
      </w:r>
    </w:p>
    <w:p w14:paraId="0109BC90" w14:textId="77777777" w:rsidR="0064486A" w:rsidRDefault="00000000">
      <w:pPr>
        <w:spacing w:after="120"/>
        <w:ind w:left="851"/>
        <w:jc w:val="both"/>
        <w:rPr>
          <w:szCs w:val="22"/>
          <w:lang w:eastAsia="en-US"/>
        </w:rPr>
      </w:pPr>
      <w:r>
        <w:rPr>
          <w:szCs w:val="22"/>
        </w:rPr>
        <w:t>Cette unité d’enseignement vise à permettre à l’étudiant d’identifier et de décrire les pathologies du segment antérieur et postérieur de l’œil ainsi que des voies optiques, de justifier les examens à mettre en œuvre et d’en déduire les traitements.</w:t>
      </w:r>
    </w:p>
    <w:p w14:paraId="6D938480" w14:textId="77777777" w:rsidR="0064486A" w:rsidRDefault="0064486A">
      <w:pPr>
        <w:spacing w:after="120"/>
        <w:ind w:left="851"/>
        <w:jc w:val="both"/>
        <w:rPr>
          <w:szCs w:val="22"/>
        </w:rPr>
      </w:pPr>
    </w:p>
    <w:p w14:paraId="4F4F1870" w14:textId="77777777" w:rsidR="0064486A" w:rsidRDefault="00000000">
      <w:pPr>
        <w:tabs>
          <w:tab w:val="left" w:pos="426"/>
        </w:tabs>
        <w:spacing w:after="120"/>
        <w:jc w:val="both"/>
        <w:rPr>
          <w:szCs w:val="22"/>
        </w:rPr>
      </w:pPr>
      <w:r>
        <w:rPr>
          <w:b/>
          <w:szCs w:val="22"/>
        </w:rPr>
        <w:t>2.</w:t>
      </w:r>
      <w:r>
        <w:rPr>
          <w:b/>
          <w:szCs w:val="22"/>
        </w:rPr>
        <w:tab/>
        <w:t>CAPACITES PREALABLES REQUISES</w:t>
      </w:r>
    </w:p>
    <w:p w14:paraId="28696252" w14:textId="77777777" w:rsidR="0064486A" w:rsidRDefault="00000000">
      <w:pPr>
        <w:numPr>
          <w:ilvl w:val="1"/>
          <w:numId w:val="1"/>
        </w:numPr>
        <w:spacing w:after="120"/>
        <w:jc w:val="both"/>
        <w:rPr>
          <w:b/>
          <w:szCs w:val="22"/>
        </w:rPr>
      </w:pPr>
      <w:r>
        <w:rPr>
          <w:b/>
          <w:szCs w:val="22"/>
        </w:rPr>
        <w:t>Capacités</w:t>
      </w:r>
    </w:p>
    <w:p w14:paraId="6DEDB143" w14:textId="77777777" w:rsidR="0064486A" w:rsidRDefault="00000000">
      <w:pPr>
        <w:spacing w:after="120"/>
        <w:ind w:left="860"/>
        <w:jc w:val="both"/>
        <w:rPr>
          <w:b/>
          <w:szCs w:val="22"/>
        </w:rPr>
      </w:pPr>
      <w:r>
        <w:rPr>
          <w:b/>
          <w:szCs w:val="22"/>
        </w:rPr>
        <w:t>En sciences oculaires,</w:t>
      </w:r>
    </w:p>
    <w:p w14:paraId="52B65080" w14:textId="77777777" w:rsidR="0064486A" w:rsidRDefault="00000000">
      <w:pPr>
        <w:numPr>
          <w:ilvl w:val="0"/>
          <w:numId w:val="2"/>
        </w:numPr>
        <w:tabs>
          <w:tab w:val="clear" w:pos="360"/>
          <w:tab w:val="num" w:pos="709"/>
          <w:tab w:val="num" w:pos="1134"/>
          <w:tab w:val="num" w:pos="1494"/>
        </w:tabs>
        <w:spacing w:after="120"/>
        <w:ind w:left="1134" w:hanging="283"/>
        <w:jc w:val="both"/>
        <w:rPr>
          <w:szCs w:val="22"/>
        </w:rPr>
      </w:pPr>
      <w:r>
        <w:rPr>
          <w:szCs w:val="22"/>
        </w:rPr>
        <w:t>identifier les composants du système visuel et expliciter la structure et les spécificités d’au moins deux éléments relatifs au globe oculaire, à ses annexes et aux voies optiques ;</w:t>
      </w:r>
    </w:p>
    <w:p w14:paraId="373B0D66" w14:textId="77777777" w:rsidR="0064486A" w:rsidRDefault="00000000">
      <w:pPr>
        <w:numPr>
          <w:ilvl w:val="0"/>
          <w:numId w:val="2"/>
        </w:numPr>
        <w:tabs>
          <w:tab w:val="clear" w:pos="360"/>
          <w:tab w:val="num" w:pos="284"/>
          <w:tab w:val="num" w:pos="709"/>
          <w:tab w:val="num" w:pos="1134"/>
          <w:tab w:val="num" w:pos="1494"/>
        </w:tabs>
        <w:spacing w:after="120"/>
        <w:ind w:left="1134" w:hanging="283"/>
        <w:jc w:val="both"/>
        <w:rPr>
          <w:szCs w:val="22"/>
        </w:rPr>
      </w:pPr>
      <w:r>
        <w:rPr>
          <w:szCs w:val="22"/>
        </w:rPr>
        <w:t>décrire les rôles, la composition chimique et physique, les métabolismes, les modes de fonctionnement et les effets régulateurs d’au moins deux constituants de l’œil et de ses annexes et expliciter la réception et la transmission du message visuel le long des voies optiques ainsi que son intégration au niveau du cerveau.</w:t>
      </w:r>
    </w:p>
    <w:p w14:paraId="6F7DE628" w14:textId="77777777" w:rsidR="0064486A" w:rsidRDefault="0064486A">
      <w:pPr>
        <w:spacing w:after="120"/>
        <w:ind w:left="860"/>
        <w:jc w:val="both"/>
        <w:rPr>
          <w:b/>
          <w:szCs w:val="22"/>
        </w:rPr>
      </w:pPr>
    </w:p>
    <w:p w14:paraId="4BF38025" w14:textId="77777777" w:rsidR="0064486A" w:rsidRDefault="00000000">
      <w:pPr>
        <w:numPr>
          <w:ilvl w:val="1"/>
          <w:numId w:val="1"/>
        </w:numPr>
        <w:spacing w:after="120"/>
        <w:jc w:val="both"/>
        <w:rPr>
          <w:b/>
          <w:szCs w:val="22"/>
        </w:rPr>
      </w:pPr>
      <w:r>
        <w:rPr>
          <w:b/>
          <w:szCs w:val="22"/>
        </w:rPr>
        <w:t>Titre pouvant en tenir lieu</w:t>
      </w:r>
    </w:p>
    <w:p w14:paraId="5787EFC5" w14:textId="77777777" w:rsidR="0064486A" w:rsidRDefault="00000000">
      <w:pPr>
        <w:spacing w:after="120"/>
        <w:ind w:left="851"/>
        <w:jc w:val="both"/>
        <w:rPr>
          <w:szCs w:val="22"/>
        </w:rPr>
      </w:pPr>
      <w:r>
        <w:rPr>
          <w:szCs w:val="22"/>
        </w:rPr>
        <w:t xml:space="preserve">Attestation de réussite de l’unité d’enseignement </w:t>
      </w:r>
      <w:r>
        <w:rPr>
          <w:b/>
          <w:szCs w:val="22"/>
        </w:rPr>
        <w:t>« Sciences oculaires »</w:t>
      </w:r>
      <w:r>
        <w:rPr>
          <w:szCs w:val="22"/>
        </w:rPr>
        <w:t xml:space="preserve">,                                           code n° </w:t>
      </w:r>
      <w:r>
        <w:rPr>
          <w:b/>
          <w:szCs w:val="22"/>
        </w:rPr>
        <w:t>91 43 23 U34 D3</w:t>
      </w:r>
      <w:r>
        <w:rPr>
          <w:szCs w:val="22"/>
        </w:rPr>
        <w:t>, classée dans l’enseignement supérieur de type court.</w:t>
      </w:r>
    </w:p>
    <w:p w14:paraId="15063ABA" w14:textId="77777777" w:rsidR="0064486A" w:rsidRDefault="00000000">
      <w:pPr>
        <w:rPr>
          <w:szCs w:val="22"/>
        </w:rPr>
      </w:pPr>
      <w:r>
        <w:rPr>
          <w:szCs w:val="22"/>
        </w:rPr>
        <w:br w:type="page"/>
      </w:r>
    </w:p>
    <w:p w14:paraId="2B07A319" w14:textId="77777777" w:rsidR="0064486A" w:rsidRDefault="00000000">
      <w:pPr>
        <w:tabs>
          <w:tab w:val="left" w:pos="426"/>
        </w:tabs>
        <w:spacing w:after="120"/>
        <w:jc w:val="both"/>
        <w:rPr>
          <w:b/>
          <w:szCs w:val="22"/>
        </w:rPr>
      </w:pPr>
      <w:r>
        <w:rPr>
          <w:b/>
          <w:szCs w:val="22"/>
        </w:rPr>
        <w:lastRenderedPageBreak/>
        <w:t>3.</w:t>
      </w:r>
      <w:r>
        <w:rPr>
          <w:b/>
          <w:szCs w:val="22"/>
        </w:rPr>
        <w:tab/>
        <w:t>ACQUIS D’APPRENTISSAGE</w:t>
      </w:r>
    </w:p>
    <w:p w14:paraId="5F08D264" w14:textId="77777777" w:rsidR="0064486A" w:rsidRDefault="00000000">
      <w:pPr>
        <w:spacing w:after="120"/>
        <w:ind w:firstLine="426"/>
        <w:jc w:val="both"/>
        <w:rPr>
          <w:b/>
          <w:szCs w:val="22"/>
        </w:rPr>
      </w:pPr>
      <w:r>
        <w:rPr>
          <w:b/>
          <w:szCs w:val="22"/>
        </w:rPr>
        <w:t>Pour atteindre le seuil de réussite, l’étudiant sera capable :</w:t>
      </w:r>
    </w:p>
    <w:p w14:paraId="707C3E23" w14:textId="77777777" w:rsidR="0064486A" w:rsidRDefault="00000000">
      <w:pPr>
        <w:spacing w:after="120"/>
        <w:ind w:left="426"/>
        <w:jc w:val="both"/>
        <w:rPr>
          <w:i/>
          <w:szCs w:val="22"/>
          <w:lang w:eastAsia="en-US"/>
        </w:rPr>
      </w:pPr>
      <w:r>
        <w:rPr>
          <w:i/>
          <w:szCs w:val="22"/>
        </w:rPr>
        <w:t>pour une situation de dysfonctionnement visuel lié à au moins deux types de pathologie du segment antérieur de l’œil et de ses annexes,</w:t>
      </w:r>
    </w:p>
    <w:p w14:paraId="6968AF8F" w14:textId="77777777" w:rsidR="0064486A" w:rsidRDefault="00000000">
      <w:pPr>
        <w:tabs>
          <w:tab w:val="left" w:pos="426"/>
          <w:tab w:val="left" w:pos="993"/>
        </w:tabs>
        <w:spacing w:after="120"/>
        <w:ind w:left="426" w:hanging="1"/>
        <w:jc w:val="both"/>
        <w:rPr>
          <w:i/>
          <w:szCs w:val="22"/>
        </w:rPr>
      </w:pPr>
      <w:r>
        <w:rPr>
          <w:i/>
          <w:szCs w:val="22"/>
        </w:rPr>
        <w:t xml:space="preserve">en disposant de la documentation ad hoc (résultats d’examens cliniques, d’examens visuels, d’imageries d’assistance en instrumentation ophtalmique, projections,…), </w:t>
      </w:r>
    </w:p>
    <w:p w14:paraId="7024020C" w14:textId="77777777" w:rsidR="0064486A" w:rsidRDefault="00000000">
      <w:pPr>
        <w:numPr>
          <w:ilvl w:val="0"/>
          <w:numId w:val="3"/>
        </w:numPr>
        <w:tabs>
          <w:tab w:val="num" w:pos="709"/>
        </w:tabs>
        <w:spacing w:after="120"/>
        <w:ind w:left="709" w:hanging="283"/>
        <w:jc w:val="both"/>
        <w:rPr>
          <w:szCs w:val="22"/>
        </w:rPr>
      </w:pPr>
      <w:r>
        <w:rPr>
          <w:szCs w:val="22"/>
        </w:rPr>
        <w:t>d’expliquer les techniques d’examen à mettre en œuvre ;</w:t>
      </w:r>
    </w:p>
    <w:p w14:paraId="306F854A" w14:textId="77777777" w:rsidR="0064486A" w:rsidRDefault="00000000">
      <w:pPr>
        <w:numPr>
          <w:ilvl w:val="0"/>
          <w:numId w:val="3"/>
        </w:numPr>
        <w:tabs>
          <w:tab w:val="num" w:pos="709"/>
        </w:tabs>
        <w:spacing w:after="120"/>
        <w:ind w:left="709" w:hanging="283"/>
        <w:jc w:val="both"/>
        <w:rPr>
          <w:szCs w:val="22"/>
        </w:rPr>
      </w:pPr>
      <w:r>
        <w:rPr>
          <w:szCs w:val="22"/>
        </w:rPr>
        <w:t>d’identifier et de décrire la pathologie concernée ;</w:t>
      </w:r>
    </w:p>
    <w:p w14:paraId="41593655" w14:textId="77777777" w:rsidR="0064486A" w:rsidRDefault="00000000">
      <w:pPr>
        <w:numPr>
          <w:ilvl w:val="0"/>
          <w:numId w:val="3"/>
        </w:numPr>
        <w:tabs>
          <w:tab w:val="num" w:pos="709"/>
        </w:tabs>
        <w:spacing w:after="120"/>
        <w:ind w:left="709" w:hanging="283"/>
        <w:jc w:val="both"/>
        <w:rPr>
          <w:szCs w:val="22"/>
        </w:rPr>
      </w:pPr>
      <w:r>
        <w:rPr>
          <w:szCs w:val="22"/>
        </w:rPr>
        <w:t xml:space="preserve">d’établir les relations entre les dysfonctionnements, les causes, les symptômes, les évolutions et les traitements ; </w:t>
      </w:r>
    </w:p>
    <w:p w14:paraId="16863B8A" w14:textId="77777777" w:rsidR="0064486A" w:rsidRDefault="00000000">
      <w:pPr>
        <w:numPr>
          <w:ilvl w:val="0"/>
          <w:numId w:val="3"/>
        </w:numPr>
        <w:tabs>
          <w:tab w:val="num" w:pos="709"/>
        </w:tabs>
        <w:spacing w:after="120"/>
        <w:ind w:left="709" w:hanging="283"/>
        <w:jc w:val="both"/>
        <w:rPr>
          <w:szCs w:val="22"/>
        </w:rPr>
      </w:pPr>
      <w:r>
        <w:rPr>
          <w:szCs w:val="22"/>
        </w:rPr>
        <w:t>de justifier les traitements utilisés en tenant compte des limites déontologiques de la profession ;</w:t>
      </w:r>
    </w:p>
    <w:p w14:paraId="36A6DCBF" w14:textId="77777777" w:rsidR="0064486A" w:rsidRDefault="00000000">
      <w:pPr>
        <w:tabs>
          <w:tab w:val="left" w:pos="426"/>
          <w:tab w:val="left" w:pos="993"/>
        </w:tabs>
        <w:spacing w:after="120"/>
        <w:ind w:left="426" w:hanging="1"/>
        <w:jc w:val="both"/>
        <w:rPr>
          <w:i/>
          <w:color w:val="FF0000"/>
          <w:szCs w:val="22"/>
        </w:rPr>
      </w:pPr>
      <w:r>
        <w:rPr>
          <w:i/>
          <w:szCs w:val="22"/>
        </w:rPr>
        <w:t>pour une situation de dysfonctionnement visuel lié à au moins deux types de pathologie du segment postérieur de l’œil et des voies optiques,</w:t>
      </w:r>
    </w:p>
    <w:p w14:paraId="3A6F6D65" w14:textId="77777777" w:rsidR="0064486A" w:rsidRDefault="00000000">
      <w:pPr>
        <w:tabs>
          <w:tab w:val="left" w:pos="426"/>
          <w:tab w:val="left" w:pos="993"/>
        </w:tabs>
        <w:spacing w:after="120"/>
        <w:ind w:left="426" w:hanging="1"/>
        <w:jc w:val="both"/>
        <w:rPr>
          <w:i/>
          <w:szCs w:val="22"/>
        </w:rPr>
      </w:pPr>
      <w:r>
        <w:rPr>
          <w:i/>
          <w:szCs w:val="22"/>
        </w:rPr>
        <w:t xml:space="preserve">en disposant de la documentation ad hoc (résultats d’examens cliniques, d’examens visuels, d’imageries d’assistance en instrumentation ophtalmique, projections,…), </w:t>
      </w:r>
    </w:p>
    <w:p w14:paraId="5FC485A5" w14:textId="77777777" w:rsidR="0064486A" w:rsidRDefault="00000000">
      <w:pPr>
        <w:numPr>
          <w:ilvl w:val="0"/>
          <w:numId w:val="3"/>
        </w:numPr>
        <w:tabs>
          <w:tab w:val="num" w:pos="709"/>
        </w:tabs>
        <w:spacing w:after="120"/>
        <w:ind w:left="709" w:hanging="283"/>
        <w:jc w:val="both"/>
        <w:rPr>
          <w:szCs w:val="22"/>
        </w:rPr>
      </w:pPr>
      <w:r>
        <w:rPr>
          <w:szCs w:val="22"/>
        </w:rPr>
        <w:t>d’expliquer les techniques d’examen à mettre en œuvre ;</w:t>
      </w:r>
    </w:p>
    <w:p w14:paraId="1147EF80" w14:textId="77777777" w:rsidR="0064486A" w:rsidRDefault="00000000">
      <w:pPr>
        <w:numPr>
          <w:ilvl w:val="0"/>
          <w:numId w:val="3"/>
        </w:numPr>
        <w:tabs>
          <w:tab w:val="num" w:pos="709"/>
        </w:tabs>
        <w:spacing w:after="120"/>
        <w:ind w:left="709" w:hanging="283"/>
        <w:jc w:val="both"/>
        <w:rPr>
          <w:szCs w:val="22"/>
        </w:rPr>
      </w:pPr>
      <w:r>
        <w:rPr>
          <w:szCs w:val="22"/>
        </w:rPr>
        <w:t>d’identifier et de décrire la pathologie concernée ;</w:t>
      </w:r>
    </w:p>
    <w:p w14:paraId="0FBBABD6" w14:textId="77777777" w:rsidR="0064486A" w:rsidRDefault="00000000">
      <w:pPr>
        <w:numPr>
          <w:ilvl w:val="0"/>
          <w:numId w:val="3"/>
        </w:numPr>
        <w:tabs>
          <w:tab w:val="num" w:pos="709"/>
        </w:tabs>
        <w:spacing w:after="120"/>
        <w:ind w:left="709" w:hanging="283"/>
        <w:jc w:val="both"/>
        <w:rPr>
          <w:szCs w:val="22"/>
        </w:rPr>
      </w:pPr>
      <w:r>
        <w:rPr>
          <w:szCs w:val="22"/>
        </w:rPr>
        <w:t>d’établir les relations entre les dysfonctionnements, les causes, les symptômes, les évolutions et les traitements ;</w:t>
      </w:r>
    </w:p>
    <w:p w14:paraId="2DBBFC45" w14:textId="77777777" w:rsidR="0064486A" w:rsidRDefault="00000000">
      <w:pPr>
        <w:numPr>
          <w:ilvl w:val="0"/>
          <w:numId w:val="3"/>
        </w:numPr>
        <w:tabs>
          <w:tab w:val="num" w:pos="709"/>
        </w:tabs>
        <w:spacing w:after="120"/>
        <w:ind w:left="709" w:hanging="283"/>
        <w:jc w:val="both"/>
        <w:rPr>
          <w:szCs w:val="22"/>
        </w:rPr>
      </w:pPr>
      <w:r>
        <w:rPr>
          <w:szCs w:val="22"/>
        </w:rPr>
        <w:t>de justifier les traitements utilisés en tenant compte des limites déontologiques de la profession.</w:t>
      </w:r>
    </w:p>
    <w:p w14:paraId="1FC9C081" w14:textId="77777777" w:rsidR="0064486A" w:rsidRDefault="00000000">
      <w:pPr>
        <w:spacing w:after="120"/>
        <w:ind w:firstLine="426"/>
        <w:jc w:val="both"/>
        <w:rPr>
          <w:b/>
          <w:szCs w:val="22"/>
        </w:rPr>
      </w:pPr>
      <w:r>
        <w:rPr>
          <w:b/>
          <w:szCs w:val="22"/>
        </w:rPr>
        <w:t>Pour la détermination du degré de maîtrise, il sera tenu compte des critères suivants:</w:t>
      </w:r>
    </w:p>
    <w:p w14:paraId="19EADBC0" w14:textId="77777777" w:rsidR="0064486A" w:rsidRDefault="00000000">
      <w:pPr>
        <w:numPr>
          <w:ilvl w:val="0"/>
          <w:numId w:val="3"/>
        </w:numPr>
        <w:tabs>
          <w:tab w:val="num" w:pos="709"/>
        </w:tabs>
        <w:spacing w:after="120"/>
        <w:ind w:left="709" w:hanging="283"/>
        <w:jc w:val="both"/>
        <w:rPr>
          <w:szCs w:val="22"/>
        </w:rPr>
      </w:pPr>
      <w:r>
        <w:rPr>
          <w:szCs w:val="22"/>
        </w:rPr>
        <w:t>le niveau de précision : la clarté, la concision, la rigueur au niveau de la terminologie, des concepts et des techniques/principes d’examen,</w:t>
      </w:r>
    </w:p>
    <w:p w14:paraId="61FD01C8" w14:textId="77777777" w:rsidR="0064486A" w:rsidRDefault="00000000">
      <w:pPr>
        <w:numPr>
          <w:ilvl w:val="0"/>
          <w:numId w:val="3"/>
        </w:numPr>
        <w:tabs>
          <w:tab w:val="num" w:pos="360"/>
          <w:tab w:val="num" w:pos="709"/>
        </w:tabs>
        <w:autoSpaceDE w:val="0"/>
        <w:autoSpaceDN w:val="0"/>
        <w:spacing w:after="120"/>
        <w:ind w:left="709" w:right="-143" w:hanging="284"/>
        <w:jc w:val="both"/>
        <w:rPr>
          <w:szCs w:val="22"/>
        </w:rPr>
      </w:pPr>
      <w:r>
        <w:rPr>
          <w:szCs w:val="22"/>
        </w:rPr>
        <w:t>le niveau de cohérence : la capacité à établir une majorité de liens logiques pour former un ensemble organisé,</w:t>
      </w:r>
    </w:p>
    <w:p w14:paraId="423A35DD" w14:textId="77777777" w:rsidR="0064486A" w:rsidRDefault="00000000">
      <w:pPr>
        <w:numPr>
          <w:ilvl w:val="0"/>
          <w:numId w:val="3"/>
        </w:numPr>
        <w:spacing w:after="120"/>
        <w:jc w:val="both"/>
        <w:rPr>
          <w:szCs w:val="22"/>
          <w:lang w:eastAsia="en-US"/>
        </w:rPr>
      </w:pPr>
      <w:r>
        <w:rPr>
          <w:szCs w:val="22"/>
        </w:rPr>
        <w:t>le niveau d’intégration : la capacité à s’approprier des notions, concepts, techniques et démarches en les intégrant dans son analyse, son argumentation, sa pratique ou la recherche de solutions.</w:t>
      </w:r>
    </w:p>
    <w:p w14:paraId="4E3141D1" w14:textId="77777777" w:rsidR="0064486A" w:rsidRDefault="0064486A">
      <w:pPr>
        <w:spacing w:after="120"/>
        <w:jc w:val="both"/>
        <w:rPr>
          <w:szCs w:val="22"/>
        </w:rPr>
      </w:pPr>
    </w:p>
    <w:p w14:paraId="52B6C34B" w14:textId="77777777" w:rsidR="0064486A" w:rsidRDefault="00000000">
      <w:pPr>
        <w:tabs>
          <w:tab w:val="left" w:pos="426"/>
        </w:tabs>
        <w:spacing w:after="120"/>
        <w:jc w:val="both"/>
        <w:rPr>
          <w:b/>
          <w:szCs w:val="22"/>
        </w:rPr>
      </w:pPr>
      <w:r>
        <w:rPr>
          <w:b/>
          <w:szCs w:val="22"/>
        </w:rPr>
        <w:t>4.</w:t>
      </w:r>
      <w:r>
        <w:rPr>
          <w:b/>
          <w:szCs w:val="22"/>
        </w:rPr>
        <w:tab/>
        <w:t>PROGRAMME</w:t>
      </w:r>
    </w:p>
    <w:p w14:paraId="486F0251" w14:textId="77777777" w:rsidR="0064486A" w:rsidRDefault="00000000">
      <w:pPr>
        <w:spacing w:after="120"/>
        <w:ind w:left="709" w:hanging="283"/>
        <w:jc w:val="both"/>
        <w:rPr>
          <w:szCs w:val="22"/>
        </w:rPr>
      </w:pPr>
      <w:r>
        <w:rPr>
          <w:szCs w:val="22"/>
        </w:rPr>
        <w:t>L'étudiant sera capable :</w:t>
      </w:r>
    </w:p>
    <w:p w14:paraId="65B8B0BE" w14:textId="77777777" w:rsidR="0064486A" w:rsidRDefault="00000000">
      <w:pPr>
        <w:spacing w:after="120"/>
        <w:ind w:left="497" w:right="110" w:hanging="71"/>
        <w:jc w:val="both"/>
        <w:rPr>
          <w:szCs w:val="22"/>
        </w:rPr>
      </w:pPr>
      <w:r>
        <w:rPr>
          <w:b/>
          <w:szCs w:val="22"/>
        </w:rPr>
        <w:t>4.1. Pathologie du segment antérieur l’œil et de ses annexes</w:t>
      </w:r>
    </w:p>
    <w:p w14:paraId="796168A0" w14:textId="77777777" w:rsidR="0064486A" w:rsidRDefault="00000000">
      <w:pPr>
        <w:pStyle w:val="Normalcentr"/>
        <w:tabs>
          <w:tab w:val="left" w:pos="709"/>
        </w:tabs>
        <w:spacing w:before="0"/>
        <w:ind w:left="851" w:right="0"/>
        <w:jc w:val="both"/>
        <w:rPr>
          <w:i w:val="0"/>
          <w:szCs w:val="22"/>
        </w:rPr>
      </w:pPr>
      <w:r>
        <w:rPr>
          <w:szCs w:val="22"/>
        </w:rPr>
        <w:t>face à des situations de dysfonctionnements visuels liés à une pathologie du segment antérieur de l’œil et de ses annexes,</w:t>
      </w:r>
    </w:p>
    <w:p w14:paraId="28F7A8C7" w14:textId="77777777" w:rsidR="0064486A" w:rsidRDefault="00000000">
      <w:pPr>
        <w:pStyle w:val="Normalcentr"/>
        <w:tabs>
          <w:tab w:val="left" w:pos="709"/>
        </w:tabs>
        <w:spacing w:before="0"/>
        <w:ind w:left="851" w:right="0"/>
        <w:jc w:val="both"/>
        <w:rPr>
          <w:szCs w:val="22"/>
        </w:rPr>
      </w:pPr>
      <w:r>
        <w:rPr>
          <w:szCs w:val="22"/>
        </w:rPr>
        <w:t xml:space="preserve">en disposant des documents et de l’équipement appropriés (anamnèse, biomicroscope, ophtalmoscope, instruments d’assistance en ophtalmologie ...), </w:t>
      </w:r>
    </w:p>
    <w:p w14:paraId="4012AE70" w14:textId="77777777" w:rsidR="0064486A" w:rsidRDefault="00000000">
      <w:pPr>
        <w:numPr>
          <w:ilvl w:val="0"/>
          <w:numId w:val="24"/>
        </w:numPr>
        <w:spacing w:after="120"/>
        <w:jc w:val="both"/>
        <w:rPr>
          <w:szCs w:val="22"/>
        </w:rPr>
      </w:pPr>
      <w:r>
        <w:rPr>
          <w:szCs w:val="22"/>
        </w:rPr>
        <w:t>de mettre en œuvre des techniques d’observation diversifiées, des démarches méthodologiques (raisonnement et questionnement) ainsi que des connaissances pour déceler la présence de dysfonctionnements de la vision et identifier les symptômes subjectifs et objectifs ;</w:t>
      </w:r>
    </w:p>
    <w:p w14:paraId="27BAD7DB" w14:textId="77777777" w:rsidR="0064486A" w:rsidRDefault="00000000">
      <w:pPr>
        <w:numPr>
          <w:ilvl w:val="0"/>
          <w:numId w:val="24"/>
        </w:numPr>
        <w:spacing w:after="120"/>
        <w:jc w:val="both"/>
        <w:rPr>
          <w:szCs w:val="22"/>
        </w:rPr>
      </w:pPr>
      <w:r>
        <w:rPr>
          <w:szCs w:val="22"/>
        </w:rPr>
        <w:t xml:space="preserve">d'expliquer, en utilisant le vocabulaire scientifique et technique, le but et le principe des tests utilisés pour diagnostiquer les différents types de pathologies, l'opportunité de recourir à des appareils différenciés, les dysfonctionnements de la vision liés aux diverses pathologies, les </w:t>
      </w:r>
      <w:r>
        <w:rPr>
          <w:szCs w:val="22"/>
        </w:rPr>
        <w:lastRenderedPageBreak/>
        <w:t>examens approfondis à solliciter auprès d'un spécialiste ainsi que les traitements médicaux et/ou chirurgicaux, d’évaluer le degré d’urgence sur la base des symptômes objectifs ;</w:t>
      </w:r>
    </w:p>
    <w:p w14:paraId="45F7A5E1" w14:textId="77777777" w:rsidR="0064486A" w:rsidRDefault="00000000">
      <w:pPr>
        <w:numPr>
          <w:ilvl w:val="0"/>
          <w:numId w:val="24"/>
        </w:numPr>
        <w:spacing w:after="120"/>
        <w:jc w:val="both"/>
        <w:rPr>
          <w:szCs w:val="22"/>
        </w:rPr>
      </w:pPr>
      <w:r>
        <w:rPr>
          <w:szCs w:val="22"/>
        </w:rPr>
        <w:t>de caractériser les principales pathologies des paupières, des glandes et des voies lacrymales, de la conjonctive et de la cornée, (définitions, étiologies, diagnostics, symptômes objectifs et subjectifs, évolutions, traitements) ;</w:t>
      </w:r>
    </w:p>
    <w:p w14:paraId="48A380DB" w14:textId="77777777" w:rsidR="0064486A" w:rsidRDefault="00000000">
      <w:pPr>
        <w:numPr>
          <w:ilvl w:val="0"/>
          <w:numId w:val="24"/>
        </w:numPr>
        <w:spacing w:after="120"/>
        <w:jc w:val="both"/>
        <w:rPr>
          <w:szCs w:val="22"/>
        </w:rPr>
      </w:pPr>
      <w:r>
        <w:rPr>
          <w:szCs w:val="22"/>
        </w:rPr>
        <w:t>de caractériser les pathologies liées à des problèmes congénitaux ;</w:t>
      </w:r>
    </w:p>
    <w:p w14:paraId="43931C69" w14:textId="77777777" w:rsidR="0064486A" w:rsidRDefault="00000000">
      <w:pPr>
        <w:numPr>
          <w:ilvl w:val="0"/>
          <w:numId w:val="24"/>
        </w:numPr>
        <w:spacing w:after="120"/>
        <w:jc w:val="both"/>
        <w:rPr>
          <w:szCs w:val="22"/>
        </w:rPr>
      </w:pPr>
      <w:r>
        <w:rPr>
          <w:szCs w:val="22"/>
        </w:rPr>
        <w:t>de décrire les spécificités de la chirurgie des annexes  de l’œil (méthodes, caractéristiques …) et d’en expliquer les avantages et les inconvénients ;</w:t>
      </w:r>
    </w:p>
    <w:p w14:paraId="7DB5D397" w14:textId="77777777" w:rsidR="0064486A" w:rsidRDefault="00000000">
      <w:pPr>
        <w:numPr>
          <w:ilvl w:val="0"/>
          <w:numId w:val="24"/>
        </w:numPr>
        <w:spacing w:after="120"/>
        <w:jc w:val="both"/>
        <w:rPr>
          <w:szCs w:val="22"/>
        </w:rPr>
      </w:pPr>
      <w:r>
        <w:rPr>
          <w:szCs w:val="22"/>
        </w:rPr>
        <w:t>de décrire les spécificités de la chirurgie réfractive du segment antérieur de l’œil et de ses annexes (méthodes, caractéristiques …) et d’en expliquer les  avantages et les inconvénients ;</w:t>
      </w:r>
    </w:p>
    <w:p w14:paraId="438333D4" w14:textId="77777777" w:rsidR="0064486A" w:rsidRDefault="00000000">
      <w:pPr>
        <w:pStyle w:val="Paragraphedeliste"/>
        <w:numPr>
          <w:ilvl w:val="0"/>
          <w:numId w:val="24"/>
        </w:numPr>
        <w:spacing w:after="120"/>
        <w:jc w:val="both"/>
        <w:rPr>
          <w:sz w:val="22"/>
          <w:szCs w:val="22"/>
        </w:rPr>
      </w:pPr>
      <w:r>
        <w:rPr>
          <w:sz w:val="22"/>
          <w:szCs w:val="22"/>
        </w:rPr>
        <w:t>de justifier les conclusions des observations en se fondant sur les caractéristiques normales des paupières, des glandes et des voies lacrymales, de la conjonctive et de la cornée, les symptômes objectifs et subjectifs liés à la pathologie observée, les éléments significatifs de l’anamnèse disponible, les modes opératoires de l’observation scientifique.</w:t>
      </w:r>
    </w:p>
    <w:p w14:paraId="1B681C1E" w14:textId="77777777" w:rsidR="0064486A" w:rsidRDefault="00000000">
      <w:pPr>
        <w:spacing w:after="120"/>
        <w:ind w:left="497" w:right="110" w:hanging="71"/>
        <w:jc w:val="both"/>
        <w:rPr>
          <w:szCs w:val="22"/>
        </w:rPr>
      </w:pPr>
      <w:r>
        <w:rPr>
          <w:b/>
          <w:szCs w:val="22"/>
        </w:rPr>
        <w:t>4.2. Pathologie du segment postérieur de l’œil et du système visuel</w:t>
      </w:r>
    </w:p>
    <w:p w14:paraId="040B650C" w14:textId="77777777" w:rsidR="0064486A" w:rsidRDefault="00000000">
      <w:pPr>
        <w:tabs>
          <w:tab w:val="left" w:pos="709"/>
        </w:tabs>
        <w:spacing w:after="120"/>
        <w:ind w:left="850"/>
        <w:jc w:val="both"/>
        <w:rPr>
          <w:i/>
          <w:szCs w:val="22"/>
        </w:rPr>
      </w:pPr>
      <w:r>
        <w:rPr>
          <w:i/>
          <w:szCs w:val="22"/>
        </w:rPr>
        <w:t>face à des situations de dysfonctionnements visuels liés à une pathologie du segment postérieur de l’œil et des voies optiques,</w:t>
      </w:r>
    </w:p>
    <w:p w14:paraId="44302F09" w14:textId="77777777" w:rsidR="0064486A" w:rsidRDefault="00000000">
      <w:pPr>
        <w:pStyle w:val="Normalcentr"/>
        <w:tabs>
          <w:tab w:val="left" w:pos="709"/>
        </w:tabs>
        <w:spacing w:before="0"/>
        <w:ind w:left="850" w:right="-1"/>
        <w:jc w:val="both"/>
        <w:rPr>
          <w:szCs w:val="22"/>
        </w:rPr>
      </w:pPr>
      <w:r>
        <w:rPr>
          <w:szCs w:val="22"/>
        </w:rPr>
        <w:t xml:space="preserve">en disposant des documents et de l’équipement appropriés (anamnèse, biomicroscope, ophtalmoscope, instruments d’assistance en ophtalmologie ...), </w:t>
      </w:r>
    </w:p>
    <w:p w14:paraId="07895686" w14:textId="77777777" w:rsidR="0064486A" w:rsidRDefault="00000000">
      <w:pPr>
        <w:numPr>
          <w:ilvl w:val="0"/>
          <w:numId w:val="24"/>
        </w:numPr>
        <w:spacing w:after="120"/>
        <w:jc w:val="both"/>
        <w:rPr>
          <w:szCs w:val="22"/>
        </w:rPr>
      </w:pPr>
      <w:r>
        <w:rPr>
          <w:szCs w:val="22"/>
        </w:rPr>
        <w:t>de mettre en œuvre des techniques d’observation diversifiées, des démarches méthodologiques (raisonnement et questionnement) ainsi que des connaissances pour déceler la présence de dysfonctionnements de la vision et identifier les symptômes subjectifs et objectifs ;</w:t>
      </w:r>
    </w:p>
    <w:p w14:paraId="3AC8F586" w14:textId="77777777" w:rsidR="0064486A" w:rsidRDefault="00000000">
      <w:pPr>
        <w:numPr>
          <w:ilvl w:val="0"/>
          <w:numId w:val="24"/>
        </w:numPr>
        <w:spacing w:after="120"/>
        <w:jc w:val="both"/>
        <w:rPr>
          <w:szCs w:val="22"/>
        </w:rPr>
      </w:pPr>
      <w:r>
        <w:rPr>
          <w:szCs w:val="22"/>
        </w:rPr>
        <w:t>d'expliquer en utilisant le vocabulaire scientifique et technique le but et le principe des tests utilisés pour diagnostiquer les différents types de pathologies, l'opportunité de recourir à des appareils différenciés, les dysfonctionnements de la vision liés aux diverses pathologies, les examens approfondis à solliciter auprès d'un spécialiste ainsi que les traitements médicaux et/ou chirurgicaux, d’évaluer le degré d’urgence sur la base des symptômes objectifs ;</w:t>
      </w:r>
    </w:p>
    <w:p w14:paraId="4A7FDAEA" w14:textId="77777777" w:rsidR="0064486A" w:rsidRDefault="00000000">
      <w:pPr>
        <w:numPr>
          <w:ilvl w:val="0"/>
          <w:numId w:val="24"/>
        </w:numPr>
        <w:spacing w:after="120"/>
        <w:jc w:val="both"/>
        <w:rPr>
          <w:szCs w:val="22"/>
        </w:rPr>
      </w:pPr>
      <w:r>
        <w:rPr>
          <w:szCs w:val="22"/>
        </w:rPr>
        <w:t>de caractériser les principales pathologies de la sclérotique, de l'uvée, de la pupille, du cristallin, du vitré, du fond de l'œil, les troubles de la tension oculaire, des voies optiques (définitions, étiologies, diagnostics, symptômes objectifs et subjectifs, évolutions, traitements) ;</w:t>
      </w:r>
    </w:p>
    <w:p w14:paraId="25FE168E" w14:textId="77777777" w:rsidR="0064486A" w:rsidRDefault="00000000">
      <w:pPr>
        <w:numPr>
          <w:ilvl w:val="0"/>
          <w:numId w:val="24"/>
        </w:numPr>
        <w:spacing w:after="120"/>
        <w:jc w:val="both"/>
        <w:rPr>
          <w:szCs w:val="22"/>
        </w:rPr>
      </w:pPr>
      <w:r>
        <w:rPr>
          <w:szCs w:val="22"/>
        </w:rPr>
        <w:t>de caractériser les pathologies liées au vieillissement de l’œil ;</w:t>
      </w:r>
    </w:p>
    <w:p w14:paraId="1FB40D5F" w14:textId="77777777" w:rsidR="0064486A" w:rsidRDefault="00000000">
      <w:pPr>
        <w:numPr>
          <w:ilvl w:val="0"/>
          <w:numId w:val="24"/>
        </w:numPr>
        <w:spacing w:after="120"/>
        <w:jc w:val="both"/>
        <w:rPr>
          <w:szCs w:val="22"/>
        </w:rPr>
      </w:pPr>
      <w:r>
        <w:rPr>
          <w:szCs w:val="22"/>
        </w:rPr>
        <w:t>de décrire les spécificités de la chirurgie réfractive du segment postérieur de l’œil (méthodes, caractéristiques …) et d’en expliquer les avantages et les inconvénients ;</w:t>
      </w:r>
    </w:p>
    <w:p w14:paraId="5971A970" w14:textId="77777777" w:rsidR="0064486A" w:rsidRDefault="00000000">
      <w:pPr>
        <w:pStyle w:val="Paragraphedeliste"/>
        <w:numPr>
          <w:ilvl w:val="0"/>
          <w:numId w:val="24"/>
        </w:numPr>
        <w:spacing w:after="120"/>
        <w:jc w:val="both"/>
        <w:rPr>
          <w:sz w:val="22"/>
          <w:szCs w:val="22"/>
        </w:rPr>
      </w:pPr>
      <w:r>
        <w:rPr>
          <w:sz w:val="22"/>
          <w:szCs w:val="22"/>
        </w:rPr>
        <w:t>de justifier les conclusions des observations en se fondant sur les caractéristiques d’un fond d’œil normal et des différents milieux oculaires, les symptômes objectifs et subjectifs liés à la pathologie observée, les éléments significatifs de l’anamnèse disponible, les modes opératoires de l’observation scientifique.</w:t>
      </w:r>
    </w:p>
    <w:p w14:paraId="787E02CE" w14:textId="77777777" w:rsidR="0064486A" w:rsidRDefault="00000000">
      <w:pPr>
        <w:spacing w:after="120"/>
        <w:jc w:val="both"/>
        <w:rPr>
          <w:szCs w:val="22"/>
        </w:rPr>
      </w:pPr>
      <w:r>
        <w:rPr>
          <w:szCs w:val="22"/>
        </w:rPr>
        <w:br w:type="page"/>
      </w:r>
    </w:p>
    <w:p w14:paraId="153E7FDE" w14:textId="77777777" w:rsidR="0064486A" w:rsidRDefault="00000000">
      <w:pPr>
        <w:tabs>
          <w:tab w:val="left" w:pos="426"/>
        </w:tabs>
        <w:spacing w:after="120"/>
        <w:jc w:val="both"/>
        <w:rPr>
          <w:b/>
          <w:szCs w:val="22"/>
        </w:rPr>
      </w:pPr>
      <w:r>
        <w:rPr>
          <w:b/>
          <w:szCs w:val="22"/>
        </w:rPr>
        <w:lastRenderedPageBreak/>
        <w:t>5.</w:t>
      </w:r>
      <w:r>
        <w:rPr>
          <w:b/>
          <w:szCs w:val="22"/>
        </w:rPr>
        <w:tab/>
      </w:r>
      <w:r>
        <w:rPr>
          <w:b/>
          <w:caps/>
          <w:szCs w:val="22"/>
        </w:rPr>
        <w:t>Constitution des groupes ou regroupement</w:t>
      </w:r>
    </w:p>
    <w:p w14:paraId="19BC11D6" w14:textId="77777777" w:rsidR="0064486A" w:rsidRDefault="00000000">
      <w:pPr>
        <w:spacing w:after="120"/>
        <w:ind w:left="567" w:hanging="141"/>
        <w:jc w:val="both"/>
        <w:rPr>
          <w:szCs w:val="22"/>
        </w:rPr>
      </w:pPr>
      <w:r>
        <w:rPr>
          <w:szCs w:val="22"/>
        </w:rPr>
        <w:t>Aucune recommandation particulière.</w:t>
      </w:r>
    </w:p>
    <w:p w14:paraId="5F04FC55" w14:textId="77777777" w:rsidR="0064486A" w:rsidRDefault="0064486A">
      <w:pPr>
        <w:spacing w:after="120"/>
        <w:ind w:left="567" w:hanging="141"/>
        <w:jc w:val="both"/>
        <w:rPr>
          <w:szCs w:val="22"/>
        </w:rPr>
      </w:pPr>
    </w:p>
    <w:p w14:paraId="5D512E8E" w14:textId="77777777" w:rsidR="0064486A" w:rsidRDefault="00000000">
      <w:pPr>
        <w:tabs>
          <w:tab w:val="left" w:pos="426"/>
        </w:tabs>
        <w:spacing w:after="120"/>
        <w:jc w:val="both"/>
        <w:rPr>
          <w:b/>
          <w:szCs w:val="22"/>
        </w:rPr>
      </w:pPr>
      <w:r>
        <w:rPr>
          <w:b/>
          <w:szCs w:val="22"/>
        </w:rPr>
        <w:t>6.</w:t>
      </w:r>
      <w:r>
        <w:rPr>
          <w:b/>
          <w:szCs w:val="22"/>
        </w:rPr>
        <w:tab/>
        <w:t>CHARGE(S) DE COURS</w:t>
      </w:r>
    </w:p>
    <w:p w14:paraId="0E73EA16" w14:textId="77777777" w:rsidR="0064486A" w:rsidRDefault="00000000">
      <w:pPr>
        <w:spacing w:after="120"/>
        <w:ind w:left="426"/>
        <w:jc w:val="both"/>
        <w:rPr>
          <w:szCs w:val="22"/>
        </w:rPr>
      </w:pPr>
      <w:r>
        <w:rPr>
          <w:szCs w:val="22"/>
        </w:rPr>
        <w:t>Le chargé de cours sera un enseignant ou un expert.</w:t>
      </w:r>
    </w:p>
    <w:p w14:paraId="0FE80212" w14:textId="77777777" w:rsidR="0064486A" w:rsidRDefault="00000000">
      <w:pPr>
        <w:spacing w:after="120"/>
        <w:ind w:left="426"/>
        <w:jc w:val="both"/>
        <w:rPr>
          <w:szCs w:val="22"/>
        </w:rPr>
      </w:pPr>
      <w:r>
        <w:rPr>
          <w:szCs w:val="22"/>
        </w:rPr>
        <w:t>L’expert devra justifier de compétences particulières issues d’une expérience professionnelle actualisée en relation avec la charge de cours qui lui est attribuée.</w:t>
      </w:r>
    </w:p>
    <w:p w14:paraId="52A4293B" w14:textId="77777777" w:rsidR="0064486A" w:rsidRDefault="0064486A">
      <w:pPr>
        <w:spacing w:after="120"/>
        <w:jc w:val="both"/>
        <w:rPr>
          <w:szCs w:val="22"/>
        </w:rPr>
      </w:pPr>
    </w:p>
    <w:p w14:paraId="7ECE9B37" w14:textId="77777777" w:rsidR="0064486A" w:rsidRDefault="00000000">
      <w:pPr>
        <w:tabs>
          <w:tab w:val="left" w:pos="426"/>
        </w:tabs>
        <w:spacing w:after="120"/>
        <w:jc w:val="both"/>
        <w:rPr>
          <w:b/>
          <w:szCs w:val="22"/>
        </w:rPr>
      </w:pPr>
      <w:r>
        <w:rPr>
          <w:b/>
          <w:szCs w:val="22"/>
        </w:rPr>
        <w:t>7.</w:t>
      </w:r>
      <w:r>
        <w:rPr>
          <w:b/>
          <w:szCs w:val="22"/>
        </w:rPr>
        <w:tab/>
        <w:t>HORAIRE MINIMUM DE L’UNITE D’ENSEIGNEMENT</w:t>
      </w:r>
    </w:p>
    <w:p w14:paraId="57258491" w14:textId="77777777" w:rsidR="0064486A" w:rsidRDefault="0064486A">
      <w:pPr>
        <w:ind w:left="426"/>
        <w:rPr>
          <w:b/>
        </w:rPr>
      </w:pPr>
    </w:p>
    <w:tbl>
      <w:tblPr>
        <w:tblW w:w="8930" w:type="dxa"/>
        <w:tblInd w:w="3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733"/>
        <w:gridCol w:w="1362"/>
        <w:gridCol w:w="992"/>
        <w:gridCol w:w="1843"/>
      </w:tblGrid>
      <w:tr w:rsidR="0064486A" w14:paraId="1783348F" w14:textId="77777777">
        <w:tc>
          <w:tcPr>
            <w:tcW w:w="4733" w:type="dxa"/>
          </w:tcPr>
          <w:p w14:paraId="555B849E" w14:textId="77777777" w:rsidR="0064486A" w:rsidRDefault="0064486A">
            <w:pPr>
              <w:ind w:left="71"/>
              <w:rPr>
                <w:szCs w:val="22"/>
              </w:rPr>
            </w:pPr>
          </w:p>
          <w:p w14:paraId="32FB885A" w14:textId="77777777" w:rsidR="0064486A" w:rsidRDefault="00000000">
            <w:pPr>
              <w:pStyle w:val="Titre8"/>
              <w:ind w:hanging="71"/>
              <w:rPr>
                <w:sz w:val="22"/>
                <w:szCs w:val="22"/>
              </w:rPr>
            </w:pPr>
            <w:r>
              <w:rPr>
                <w:sz w:val="22"/>
                <w:szCs w:val="22"/>
              </w:rPr>
              <w:t>7.1. Dénomination des cours</w:t>
            </w:r>
          </w:p>
          <w:p w14:paraId="76AAAE32" w14:textId="77777777" w:rsidR="0064486A" w:rsidRDefault="0064486A">
            <w:pPr>
              <w:ind w:left="71"/>
              <w:rPr>
                <w:szCs w:val="22"/>
              </w:rPr>
            </w:pPr>
          </w:p>
        </w:tc>
        <w:tc>
          <w:tcPr>
            <w:tcW w:w="1362" w:type="dxa"/>
          </w:tcPr>
          <w:p w14:paraId="0CE9BBA3" w14:textId="77777777" w:rsidR="0064486A" w:rsidRDefault="0064486A">
            <w:pPr>
              <w:jc w:val="center"/>
              <w:rPr>
                <w:b/>
                <w:szCs w:val="22"/>
              </w:rPr>
            </w:pPr>
          </w:p>
          <w:p w14:paraId="7DD01F46" w14:textId="77777777" w:rsidR="0064486A" w:rsidRDefault="00000000">
            <w:pPr>
              <w:jc w:val="center"/>
              <w:rPr>
                <w:b/>
                <w:szCs w:val="22"/>
              </w:rPr>
            </w:pPr>
            <w:r>
              <w:rPr>
                <w:b/>
                <w:szCs w:val="22"/>
              </w:rPr>
              <w:t>Classement des cours</w:t>
            </w:r>
          </w:p>
        </w:tc>
        <w:tc>
          <w:tcPr>
            <w:tcW w:w="992" w:type="dxa"/>
          </w:tcPr>
          <w:p w14:paraId="344CB013" w14:textId="77777777" w:rsidR="0064486A" w:rsidRDefault="0064486A">
            <w:pPr>
              <w:rPr>
                <w:b/>
                <w:szCs w:val="22"/>
              </w:rPr>
            </w:pPr>
          </w:p>
          <w:p w14:paraId="7D0B9540" w14:textId="77777777" w:rsidR="0064486A" w:rsidRDefault="00000000">
            <w:pPr>
              <w:jc w:val="center"/>
              <w:rPr>
                <w:b/>
                <w:szCs w:val="22"/>
              </w:rPr>
            </w:pPr>
            <w:r>
              <w:rPr>
                <w:b/>
                <w:szCs w:val="22"/>
              </w:rPr>
              <w:t>Code U</w:t>
            </w:r>
          </w:p>
        </w:tc>
        <w:tc>
          <w:tcPr>
            <w:tcW w:w="1843" w:type="dxa"/>
          </w:tcPr>
          <w:p w14:paraId="4069BBF9" w14:textId="77777777" w:rsidR="0064486A" w:rsidRDefault="0064486A">
            <w:pPr>
              <w:jc w:val="center"/>
              <w:rPr>
                <w:b/>
                <w:szCs w:val="22"/>
              </w:rPr>
            </w:pPr>
          </w:p>
          <w:p w14:paraId="335D25E3" w14:textId="77777777" w:rsidR="0064486A" w:rsidRDefault="00000000">
            <w:pPr>
              <w:jc w:val="center"/>
              <w:rPr>
                <w:b/>
                <w:szCs w:val="22"/>
              </w:rPr>
            </w:pPr>
            <w:r>
              <w:rPr>
                <w:b/>
                <w:szCs w:val="22"/>
              </w:rPr>
              <w:t xml:space="preserve">Nombre de périodes </w:t>
            </w:r>
          </w:p>
        </w:tc>
      </w:tr>
      <w:tr w:rsidR="0064486A" w14:paraId="4E925A9E" w14:textId="77777777">
        <w:tc>
          <w:tcPr>
            <w:tcW w:w="4733" w:type="dxa"/>
            <w:tcBorders>
              <w:bottom w:val="single" w:sz="4" w:space="0" w:color="auto"/>
            </w:tcBorders>
          </w:tcPr>
          <w:p w14:paraId="1F84032E" w14:textId="77777777" w:rsidR="0064486A" w:rsidRDefault="00000000">
            <w:pPr>
              <w:rPr>
                <w:szCs w:val="22"/>
              </w:rPr>
            </w:pPr>
            <w:r>
              <w:t>Pathologie du segment antérieur de l’œil et de ses annexes</w:t>
            </w:r>
          </w:p>
        </w:tc>
        <w:tc>
          <w:tcPr>
            <w:tcW w:w="1362" w:type="dxa"/>
            <w:tcBorders>
              <w:bottom w:val="single" w:sz="4" w:space="0" w:color="auto"/>
            </w:tcBorders>
          </w:tcPr>
          <w:p w14:paraId="267ABC27" w14:textId="77777777" w:rsidR="0064486A" w:rsidRDefault="00000000">
            <w:pPr>
              <w:jc w:val="center"/>
              <w:rPr>
                <w:szCs w:val="22"/>
              </w:rPr>
            </w:pPr>
            <w:r>
              <w:rPr>
                <w:szCs w:val="22"/>
              </w:rPr>
              <w:t>CT</w:t>
            </w:r>
          </w:p>
        </w:tc>
        <w:tc>
          <w:tcPr>
            <w:tcW w:w="992" w:type="dxa"/>
            <w:tcBorders>
              <w:bottom w:val="single" w:sz="4" w:space="0" w:color="auto"/>
            </w:tcBorders>
          </w:tcPr>
          <w:p w14:paraId="4D90DFBC" w14:textId="77777777" w:rsidR="0064486A" w:rsidRDefault="00000000">
            <w:pPr>
              <w:jc w:val="center"/>
              <w:rPr>
                <w:szCs w:val="22"/>
              </w:rPr>
            </w:pPr>
            <w:r>
              <w:rPr>
                <w:szCs w:val="22"/>
              </w:rPr>
              <w:t>B</w:t>
            </w:r>
          </w:p>
        </w:tc>
        <w:tc>
          <w:tcPr>
            <w:tcW w:w="1843" w:type="dxa"/>
            <w:tcBorders>
              <w:bottom w:val="single" w:sz="4" w:space="0" w:color="auto"/>
            </w:tcBorders>
          </w:tcPr>
          <w:p w14:paraId="49E418A5" w14:textId="77777777" w:rsidR="0064486A" w:rsidRDefault="00000000">
            <w:pPr>
              <w:pStyle w:val="Notedebasdepage"/>
              <w:tabs>
                <w:tab w:val="right" w:pos="968"/>
              </w:tabs>
              <w:jc w:val="center"/>
              <w:rPr>
                <w:szCs w:val="22"/>
              </w:rPr>
            </w:pPr>
            <w:r>
              <w:rPr>
                <w:szCs w:val="22"/>
              </w:rPr>
              <w:t>20</w:t>
            </w:r>
          </w:p>
        </w:tc>
      </w:tr>
      <w:tr w:rsidR="0064486A" w14:paraId="537ABCA3" w14:textId="77777777">
        <w:tc>
          <w:tcPr>
            <w:tcW w:w="4733" w:type="dxa"/>
            <w:tcBorders>
              <w:top w:val="single" w:sz="4" w:space="0" w:color="auto"/>
              <w:bottom w:val="single" w:sz="4" w:space="0" w:color="auto"/>
            </w:tcBorders>
          </w:tcPr>
          <w:p w14:paraId="5FAB2FB8" w14:textId="77777777" w:rsidR="0064486A" w:rsidRDefault="00000000">
            <w:pPr>
              <w:rPr>
                <w:szCs w:val="22"/>
              </w:rPr>
            </w:pPr>
            <w:r>
              <w:t>Pathologie du segment postérieur de l’œil et du système visuel</w:t>
            </w:r>
          </w:p>
        </w:tc>
        <w:tc>
          <w:tcPr>
            <w:tcW w:w="1362" w:type="dxa"/>
            <w:tcBorders>
              <w:top w:val="single" w:sz="4" w:space="0" w:color="auto"/>
              <w:bottom w:val="single" w:sz="4" w:space="0" w:color="auto"/>
            </w:tcBorders>
          </w:tcPr>
          <w:p w14:paraId="45529B42" w14:textId="77777777" w:rsidR="0064486A" w:rsidRDefault="00000000">
            <w:pPr>
              <w:jc w:val="center"/>
              <w:rPr>
                <w:szCs w:val="22"/>
              </w:rPr>
            </w:pPr>
            <w:r>
              <w:rPr>
                <w:szCs w:val="22"/>
              </w:rPr>
              <w:t>CT</w:t>
            </w:r>
          </w:p>
        </w:tc>
        <w:tc>
          <w:tcPr>
            <w:tcW w:w="992" w:type="dxa"/>
            <w:tcBorders>
              <w:top w:val="single" w:sz="4" w:space="0" w:color="auto"/>
              <w:bottom w:val="single" w:sz="4" w:space="0" w:color="auto"/>
            </w:tcBorders>
          </w:tcPr>
          <w:p w14:paraId="0D1AFEA8" w14:textId="77777777" w:rsidR="0064486A" w:rsidRDefault="00000000">
            <w:pPr>
              <w:jc w:val="center"/>
              <w:rPr>
                <w:szCs w:val="22"/>
              </w:rPr>
            </w:pPr>
            <w:r>
              <w:rPr>
                <w:szCs w:val="22"/>
              </w:rPr>
              <w:t>B</w:t>
            </w:r>
          </w:p>
        </w:tc>
        <w:tc>
          <w:tcPr>
            <w:tcW w:w="1843" w:type="dxa"/>
            <w:tcBorders>
              <w:top w:val="single" w:sz="4" w:space="0" w:color="auto"/>
              <w:bottom w:val="single" w:sz="4" w:space="0" w:color="auto"/>
            </w:tcBorders>
          </w:tcPr>
          <w:p w14:paraId="5FA8380A" w14:textId="77777777" w:rsidR="0064486A" w:rsidRDefault="00000000">
            <w:pPr>
              <w:pStyle w:val="Notedebasdepage"/>
              <w:tabs>
                <w:tab w:val="right" w:pos="968"/>
              </w:tabs>
              <w:jc w:val="center"/>
              <w:rPr>
                <w:szCs w:val="22"/>
              </w:rPr>
            </w:pPr>
            <w:r>
              <w:rPr>
                <w:szCs w:val="22"/>
              </w:rPr>
              <w:t>20</w:t>
            </w:r>
          </w:p>
        </w:tc>
      </w:tr>
      <w:tr w:rsidR="0064486A" w14:paraId="44243B8A" w14:textId="77777777">
        <w:trPr>
          <w:cantSplit/>
        </w:trPr>
        <w:tc>
          <w:tcPr>
            <w:tcW w:w="6095" w:type="dxa"/>
            <w:gridSpan w:val="2"/>
            <w:tcBorders>
              <w:bottom w:val="single" w:sz="12" w:space="0" w:color="auto"/>
              <w:right w:val="nil"/>
            </w:tcBorders>
          </w:tcPr>
          <w:p w14:paraId="26A38D5C" w14:textId="77777777" w:rsidR="0064486A" w:rsidRDefault="00000000">
            <w:pPr>
              <w:pStyle w:val="Notedebasdepage"/>
              <w:rPr>
                <w:szCs w:val="22"/>
              </w:rPr>
            </w:pPr>
            <w:r>
              <w:rPr>
                <w:b/>
                <w:szCs w:val="22"/>
              </w:rPr>
              <w:t>7.2. Part d’autonomie</w:t>
            </w:r>
          </w:p>
        </w:tc>
        <w:tc>
          <w:tcPr>
            <w:tcW w:w="992" w:type="dxa"/>
            <w:tcBorders>
              <w:bottom w:val="single" w:sz="12" w:space="0" w:color="auto"/>
              <w:right w:val="nil"/>
            </w:tcBorders>
          </w:tcPr>
          <w:p w14:paraId="6B72DB96" w14:textId="77777777" w:rsidR="0064486A" w:rsidRDefault="00000000">
            <w:pPr>
              <w:jc w:val="center"/>
              <w:rPr>
                <w:szCs w:val="22"/>
              </w:rPr>
            </w:pPr>
            <w:r>
              <w:rPr>
                <w:szCs w:val="22"/>
              </w:rPr>
              <w:t>P</w:t>
            </w:r>
          </w:p>
        </w:tc>
        <w:tc>
          <w:tcPr>
            <w:tcW w:w="1843" w:type="dxa"/>
            <w:tcBorders>
              <w:bottom w:val="single" w:sz="12" w:space="0" w:color="auto"/>
            </w:tcBorders>
          </w:tcPr>
          <w:p w14:paraId="305EE92D" w14:textId="77777777" w:rsidR="0064486A" w:rsidRDefault="00000000">
            <w:pPr>
              <w:pStyle w:val="Texte"/>
              <w:tabs>
                <w:tab w:val="right" w:pos="968"/>
              </w:tabs>
              <w:jc w:val="center"/>
              <w:rPr>
                <w:rFonts w:ascii="Times New Roman" w:hAnsi="Times New Roman"/>
                <w:noProof w:val="0"/>
                <w:szCs w:val="22"/>
              </w:rPr>
            </w:pPr>
            <w:r>
              <w:rPr>
                <w:rFonts w:ascii="Times New Roman" w:hAnsi="Times New Roman"/>
                <w:noProof w:val="0"/>
                <w:szCs w:val="22"/>
              </w:rPr>
              <w:t>10</w:t>
            </w:r>
          </w:p>
        </w:tc>
      </w:tr>
      <w:tr w:rsidR="0064486A" w14:paraId="60B10913" w14:textId="77777777">
        <w:trPr>
          <w:cantSplit/>
        </w:trPr>
        <w:tc>
          <w:tcPr>
            <w:tcW w:w="7087" w:type="dxa"/>
            <w:gridSpan w:val="3"/>
            <w:tcBorders>
              <w:top w:val="single" w:sz="12" w:space="0" w:color="auto"/>
              <w:bottom w:val="single" w:sz="12" w:space="0" w:color="auto"/>
              <w:right w:val="nil"/>
            </w:tcBorders>
          </w:tcPr>
          <w:p w14:paraId="3D0CEEF4" w14:textId="77777777" w:rsidR="0064486A" w:rsidRDefault="00000000">
            <w:pPr>
              <w:rPr>
                <w:b/>
                <w:szCs w:val="22"/>
              </w:rPr>
            </w:pPr>
            <w:r>
              <w:rPr>
                <w:b/>
                <w:szCs w:val="22"/>
              </w:rPr>
              <w:t>Total des périodes</w:t>
            </w:r>
          </w:p>
        </w:tc>
        <w:tc>
          <w:tcPr>
            <w:tcW w:w="1843" w:type="dxa"/>
            <w:tcBorders>
              <w:top w:val="single" w:sz="12" w:space="0" w:color="auto"/>
              <w:bottom w:val="single" w:sz="12" w:space="0" w:color="auto"/>
            </w:tcBorders>
          </w:tcPr>
          <w:p w14:paraId="3437EDF8" w14:textId="77777777" w:rsidR="0064486A" w:rsidRDefault="00000000">
            <w:pPr>
              <w:pStyle w:val="Texte"/>
              <w:tabs>
                <w:tab w:val="right" w:pos="968"/>
              </w:tabs>
              <w:jc w:val="center"/>
              <w:rPr>
                <w:rFonts w:ascii="Times New Roman" w:hAnsi="Times New Roman"/>
                <w:b/>
                <w:noProof w:val="0"/>
                <w:szCs w:val="22"/>
              </w:rPr>
            </w:pPr>
            <w:r>
              <w:rPr>
                <w:rFonts w:ascii="Times New Roman" w:hAnsi="Times New Roman"/>
                <w:b/>
                <w:noProof w:val="0"/>
                <w:szCs w:val="22"/>
              </w:rPr>
              <w:t>50</w:t>
            </w:r>
          </w:p>
        </w:tc>
      </w:tr>
      <w:tr w:rsidR="0064486A" w14:paraId="3B3B7E8A" w14:textId="77777777">
        <w:trPr>
          <w:cantSplit/>
        </w:trPr>
        <w:tc>
          <w:tcPr>
            <w:tcW w:w="7087" w:type="dxa"/>
            <w:gridSpan w:val="3"/>
            <w:tcBorders>
              <w:top w:val="single" w:sz="12" w:space="0" w:color="auto"/>
              <w:right w:val="nil"/>
            </w:tcBorders>
          </w:tcPr>
          <w:p w14:paraId="02B610C5" w14:textId="77777777" w:rsidR="0064486A" w:rsidRDefault="00000000">
            <w:pPr>
              <w:rPr>
                <w:b/>
                <w:szCs w:val="22"/>
              </w:rPr>
            </w:pPr>
            <w:r>
              <w:rPr>
                <w:b/>
                <w:szCs w:val="22"/>
              </w:rPr>
              <w:t>Nombre d’ECTS</w:t>
            </w:r>
          </w:p>
        </w:tc>
        <w:tc>
          <w:tcPr>
            <w:tcW w:w="1843" w:type="dxa"/>
            <w:tcBorders>
              <w:top w:val="single" w:sz="12" w:space="0" w:color="auto"/>
            </w:tcBorders>
          </w:tcPr>
          <w:p w14:paraId="1DAE1A81" w14:textId="77777777" w:rsidR="0064486A" w:rsidRDefault="00000000">
            <w:pPr>
              <w:pStyle w:val="Texte"/>
              <w:tabs>
                <w:tab w:val="right" w:pos="968"/>
              </w:tabs>
              <w:jc w:val="center"/>
              <w:rPr>
                <w:rFonts w:ascii="Times New Roman" w:hAnsi="Times New Roman"/>
                <w:b/>
                <w:noProof w:val="0"/>
                <w:szCs w:val="22"/>
              </w:rPr>
            </w:pPr>
            <w:r>
              <w:rPr>
                <w:rFonts w:ascii="Times New Roman" w:hAnsi="Times New Roman"/>
                <w:b/>
                <w:noProof w:val="0"/>
                <w:szCs w:val="22"/>
              </w:rPr>
              <w:t>4</w:t>
            </w:r>
          </w:p>
        </w:tc>
      </w:tr>
    </w:tbl>
    <w:p w14:paraId="74723D09" w14:textId="77777777" w:rsidR="0064486A" w:rsidRDefault="0064486A"/>
    <w:p w14:paraId="5D9C785B" w14:textId="77777777" w:rsidR="0064486A" w:rsidRDefault="0064486A"/>
    <w:sectPr w:rsidR="0064486A">
      <w:footerReference w:type="default" r:id="rId7"/>
      <w:pgSz w:w="11907" w:h="16840"/>
      <w:pgMar w:top="1418" w:right="1417" w:bottom="1418"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380D9" w14:textId="77777777" w:rsidR="001D7871" w:rsidRDefault="001D7871">
      <w:r>
        <w:separator/>
      </w:r>
    </w:p>
  </w:endnote>
  <w:endnote w:type="continuationSeparator" w:id="0">
    <w:p w14:paraId="793B7E9A" w14:textId="77777777" w:rsidR="001D7871" w:rsidRDefault="001D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erif">
    <w:altName w:val="Cambria"/>
    <w:panose1 w:val="04000500000000000000"/>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507D" w14:textId="77777777" w:rsidR="0064486A" w:rsidRDefault="00000000">
    <w:pPr>
      <w:pStyle w:val="Pieddepage"/>
      <w:rPr>
        <w:color w:val="002060"/>
        <w:sz w:val="20"/>
      </w:rPr>
    </w:pPr>
    <w:r>
      <w:rPr>
        <w:color w:val="002060"/>
        <w:sz w:val="20"/>
        <w:lang w:val="fr-BE"/>
      </w:rPr>
      <w:t>Sciences oculaires spécialisées</w:t>
    </w:r>
    <w:r>
      <w:rPr>
        <w:color w:val="002060"/>
        <w:sz w:val="20"/>
        <w:lang w:val="fr-BE"/>
      </w:rPr>
      <w:tab/>
    </w:r>
    <w:r>
      <w:rPr>
        <w:color w:val="002060"/>
        <w:sz w:val="20"/>
        <w:lang w:val="fr-BE"/>
      </w:rPr>
      <w:tab/>
    </w:r>
    <w:r>
      <w:rPr>
        <w:color w:val="002060"/>
        <w:sz w:val="20"/>
      </w:rPr>
      <w:t xml:space="preserve">Page </w:t>
    </w:r>
    <w:r>
      <w:rPr>
        <w:bCs/>
        <w:color w:val="002060"/>
        <w:sz w:val="20"/>
      </w:rPr>
      <w:fldChar w:fldCharType="begin"/>
    </w:r>
    <w:r>
      <w:rPr>
        <w:bCs/>
        <w:color w:val="002060"/>
        <w:sz w:val="20"/>
      </w:rPr>
      <w:instrText>PAGE</w:instrText>
    </w:r>
    <w:r>
      <w:rPr>
        <w:bCs/>
        <w:color w:val="002060"/>
        <w:sz w:val="20"/>
      </w:rPr>
      <w:fldChar w:fldCharType="separate"/>
    </w:r>
    <w:r>
      <w:rPr>
        <w:bCs/>
        <w:noProof/>
        <w:color w:val="002060"/>
        <w:sz w:val="20"/>
      </w:rPr>
      <w:t>5</w:t>
    </w:r>
    <w:r>
      <w:rPr>
        <w:color w:val="002060"/>
        <w:sz w:val="20"/>
      </w:rPr>
      <w:fldChar w:fldCharType="end"/>
    </w:r>
    <w:r>
      <w:rPr>
        <w:color w:val="002060"/>
        <w:sz w:val="20"/>
      </w:rPr>
      <w:t xml:space="preserve"> sur </w:t>
    </w:r>
    <w:r>
      <w:rPr>
        <w:bCs/>
        <w:color w:val="002060"/>
        <w:sz w:val="20"/>
      </w:rPr>
      <w:fldChar w:fldCharType="begin"/>
    </w:r>
    <w:r>
      <w:rPr>
        <w:bCs/>
        <w:color w:val="002060"/>
        <w:sz w:val="20"/>
      </w:rPr>
      <w:instrText>NUMPAGES</w:instrText>
    </w:r>
    <w:r>
      <w:rPr>
        <w:bCs/>
        <w:color w:val="002060"/>
        <w:sz w:val="20"/>
      </w:rPr>
      <w:fldChar w:fldCharType="separate"/>
    </w:r>
    <w:r>
      <w:rPr>
        <w:bCs/>
        <w:noProof/>
        <w:color w:val="002060"/>
        <w:sz w:val="20"/>
      </w:rPr>
      <w:t>5</w:t>
    </w:r>
    <w:r>
      <w:rPr>
        <w:color w:val="00206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F8221" w14:textId="77777777" w:rsidR="001D7871" w:rsidRDefault="001D7871">
      <w:r>
        <w:separator/>
      </w:r>
    </w:p>
  </w:footnote>
  <w:footnote w:type="continuationSeparator" w:id="0">
    <w:p w14:paraId="21DF6284" w14:textId="77777777" w:rsidR="001D7871" w:rsidRDefault="001D7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54B8"/>
    <w:multiLevelType w:val="singleLevel"/>
    <w:tmpl w:val="DB8AD978"/>
    <w:lvl w:ilvl="0">
      <w:numFmt w:val="bullet"/>
      <w:lvlText w:val=""/>
      <w:lvlJc w:val="left"/>
      <w:pPr>
        <w:tabs>
          <w:tab w:val="num" w:pos="1070"/>
        </w:tabs>
        <w:ind w:left="993" w:hanging="283"/>
      </w:pPr>
      <w:rPr>
        <w:rFonts w:ascii="Symbol" w:hAnsi="Symbol" w:hint="default"/>
        <w:sz w:val="22"/>
      </w:rPr>
    </w:lvl>
  </w:abstractNum>
  <w:abstractNum w:abstractNumId="1" w15:restartNumberingAfterBreak="0">
    <w:nsid w:val="06885045"/>
    <w:multiLevelType w:val="hybridMultilevel"/>
    <w:tmpl w:val="399207DA"/>
    <w:lvl w:ilvl="0" w:tplc="5D2243D0">
      <w:start w:val="1"/>
      <w:numFmt w:val="bullet"/>
      <w:lvlText w:val=""/>
      <w:lvlJc w:val="left"/>
      <w:pPr>
        <w:tabs>
          <w:tab w:val="num" w:pos="1170"/>
        </w:tabs>
        <w:ind w:left="1170" w:hanging="360"/>
      </w:pPr>
      <w:rPr>
        <w:rFonts w:ascii="Symbol" w:hAnsi="Symbol" w:hint="default"/>
        <w:sz w:val="22"/>
        <w:szCs w:val="22"/>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C0123"/>
    <w:multiLevelType w:val="hybridMultilevel"/>
    <w:tmpl w:val="874010F8"/>
    <w:lvl w:ilvl="0" w:tplc="DB8AD978">
      <w:numFmt w:val="bullet"/>
      <w:lvlText w:val=""/>
      <w:lvlJc w:val="left"/>
      <w:pPr>
        <w:ind w:left="720" w:hanging="360"/>
      </w:pPr>
      <w:rPr>
        <w:rFonts w:ascii="Symbol" w:hAnsi="Symbo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75D7213"/>
    <w:multiLevelType w:val="hybridMultilevel"/>
    <w:tmpl w:val="C3E49A6C"/>
    <w:lvl w:ilvl="0" w:tplc="080C0001">
      <w:start w:val="1"/>
      <w:numFmt w:val="bullet"/>
      <w:lvlText w:val=""/>
      <w:lvlJc w:val="left"/>
      <w:pPr>
        <w:ind w:left="360" w:hanging="360"/>
      </w:pPr>
      <w:rPr>
        <w:rFonts w:ascii="Symbol" w:hAnsi="Symbol" w:hint="default"/>
      </w:rPr>
    </w:lvl>
    <w:lvl w:ilvl="1" w:tplc="92B80C04">
      <w:start w:val="1"/>
      <w:numFmt w:val="bullet"/>
      <w:lvlText w:val=""/>
      <w:lvlJc w:val="left"/>
      <w:pPr>
        <w:ind w:left="786" w:hanging="360"/>
      </w:pPr>
      <w:rPr>
        <w:rFonts w:ascii="Symbol" w:hAnsi="Symbol" w:hint="default"/>
        <w:color w:val="auto"/>
        <w:sz w:val="22"/>
      </w:rPr>
    </w:lvl>
    <w:lvl w:ilvl="2" w:tplc="9B3E0644">
      <w:start w:val="1"/>
      <w:numFmt w:val="bullet"/>
      <w:lvlText w:val=""/>
      <w:lvlJc w:val="left"/>
      <w:pPr>
        <w:ind w:left="1800" w:hanging="360"/>
      </w:pPr>
      <w:rPr>
        <w:rFonts w:ascii="Symbol" w:hAnsi="Symbo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3" w:tplc="080C000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1B2752C4"/>
    <w:multiLevelType w:val="singleLevel"/>
    <w:tmpl w:val="71C063FC"/>
    <w:lvl w:ilvl="0">
      <w:start w:val="1"/>
      <w:numFmt w:val="bullet"/>
      <w:lvlText w:val=""/>
      <w:lvlJc w:val="left"/>
      <w:pPr>
        <w:ind w:left="1494" w:hanging="360"/>
      </w:pPr>
      <w:rPr>
        <w:rFonts w:ascii="Symbol" w:hAnsi="Symbol" w:hint="default"/>
        <w:sz w:val="18"/>
        <w:szCs w:val="18"/>
      </w:rPr>
    </w:lvl>
  </w:abstractNum>
  <w:abstractNum w:abstractNumId="5" w15:restartNumberingAfterBreak="0">
    <w:nsid w:val="1C745449"/>
    <w:multiLevelType w:val="singleLevel"/>
    <w:tmpl w:val="E6DA00DC"/>
    <w:lvl w:ilvl="0">
      <w:start w:val="1"/>
      <w:numFmt w:val="bullet"/>
      <w:lvlText w:val=""/>
      <w:lvlJc w:val="left"/>
      <w:pPr>
        <w:tabs>
          <w:tab w:val="num" w:pos="1494"/>
        </w:tabs>
        <w:ind w:left="1418" w:hanging="284"/>
      </w:pPr>
      <w:rPr>
        <w:rFonts w:ascii="Symbol" w:hAnsi="Symbol" w:hint="default"/>
        <w:sz w:val="18"/>
      </w:rPr>
    </w:lvl>
  </w:abstractNum>
  <w:abstractNum w:abstractNumId="6" w15:restartNumberingAfterBreak="0">
    <w:nsid w:val="202A2E46"/>
    <w:multiLevelType w:val="hybridMultilevel"/>
    <w:tmpl w:val="EE12DC04"/>
    <w:lvl w:ilvl="0" w:tplc="92B80C04">
      <w:start w:val="1"/>
      <w:numFmt w:val="bullet"/>
      <w:lvlText w:val=""/>
      <w:lvlJc w:val="left"/>
      <w:pPr>
        <w:ind w:left="720" w:hanging="360"/>
      </w:pPr>
      <w:rPr>
        <w:rFonts w:ascii="Symbol" w:hAnsi="Symbo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20C6ED6"/>
    <w:multiLevelType w:val="hybridMultilevel"/>
    <w:tmpl w:val="CECADB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C586B37"/>
    <w:multiLevelType w:val="hybridMultilevel"/>
    <w:tmpl w:val="A57C1074"/>
    <w:lvl w:ilvl="0" w:tplc="7A30E8FE">
      <w:start w:val="1"/>
      <w:numFmt w:val="bullet"/>
      <w:lvlText w:val=""/>
      <w:lvlJc w:val="left"/>
      <w:pPr>
        <w:ind w:left="1069" w:hanging="360"/>
      </w:pPr>
      <w:rPr>
        <w:rFonts w:ascii="Symbol" w:hAnsi="Symbol" w:hint="default"/>
        <w:color w:val="auto"/>
        <w:sz w:val="22"/>
      </w:rPr>
    </w:lvl>
    <w:lvl w:ilvl="1" w:tplc="080C0003">
      <w:start w:val="1"/>
      <w:numFmt w:val="bullet"/>
      <w:lvlText w:val="o"/>
      <w:lvlJc w:val="left"/>
      <w:pPr>
        <w:ind w:left="1875" w:hanging="360"/>
      </w:pPr>
      <w:rPr>
        <w:rFonts w:ascii="Courier New" w:hAnsi="Courier New" w:cs="Courier New" w:hint="default"/>
      </w:rPr>
    </w:lvl>
    <w:lvl w:ilvl="2" w:tplc="080C0005">
      <w:start w:val="1"/>
      <w:numFmt w:val="bullet"/>
      <w:lvlText w:val=""/>
      <w:lvlJc w:val="left"/>
      <w:pPr>
        <w:ind w:left="2595" w:hanging="360"/>
      </w:pPr>
      <w:rPr>
        <w:rFonts w:ascii="Wingdings" w:hAnsi="Wingdings" w:hint="default"/>
      </w:rPr>
    </w:lvl>
    <w:lvl w:ilvl="3" w:tplc="080C0001">
      <w:start w:val="1"/>
      <w:numFmt w:val="bullet"/>
      <w:lvlText w:val=""/>
      <w:lvlJc w:val="left"/>
      <w:pPr>
        <w:ind w:left="3315" w:hanging="360"/>
      </w:pPr>
      <w:rPr>
        <w:rFonts w:ascii="Symbol" w:hAnsi="Symbol" w:hint="default"/>
      </w:rPr>
    </w:lvl>
    <w:lvl w:ilvl="4" w:tplc="080C0003">
      <w:start w:val="1"/>
      <w:numFmt w:val="bullet"/>
      <w:lvlText w:val="o"/>
      <w:lvlJc w:val="left"/>
      <w:pPr>
        <w:ind w:left="4035" w:hanging="360"/>
      </w:pPr>
      <w:rPr>
        <w:rFonts w:ascii="Courier New" w:hAnsi="Courier New" w:cs="Courier New" w:hint="default"/>
      </w:rPr>
    </w:lvl>
    <w:lvl w:ilvl="5" w:tplc="080C0005">
      <w:start w:val="1"/>
      <w:numFmt w:val="bullet"/>
      <w:lvlText w:val=""/>
      <w:lvlJc w:val="left"/>
      <w:pPr>
        <w:ind w:left="4755" w:hanging="360"/>
      </w:pPr>
      <w:rPr>
        <w:rFonts w:ascii="Wingdings" w:hAnsi="Wingdings" w:hint="default"/>
      </w:rPr>
    </w:lvl>
    <w:lvl w:ilvl="6" w:tplc="080C0001">
      <w:start w:val="1"/>
      <w:numFmt w:val="bullet"/>
      <w:lvlText w:val=""/>
      <w:lvlJc w:val="left"/>
      <w:pPr>
        <w:ind w:left="5475" w:hanging="360"/>
      </w:pPr>
      <w:rPr>
        <w:rFonts w:ascii="Symbol" w:hAnsi="Symbol" w:hint="default"/>
      </w:rPr>
    </w:lvl>
    <w:lvl w:ilvl="7" w:tplc="080C0003">
      <w:start w:val="1"/>
      <w:numFmt w:val="bullet"/>
      <w:lvlText w:val="o"/>
      <w:lvlJc w:val="left"/>
      <w:pPr>
        <w:ind w:left="6195" w:hanging="360"/>
      </w:pPr>
      <w:rPr>
        <w:rFonts w:ascii="Courier New" w:hAnsi="Courier New" w:cs="Courier New" w:hint="default"/>
      </w:rPr>
    </w:lvl>
    <w:lvl w:ilvl="8" w:tplc="080C0005">
      <w:start w:val="1"/>
      <w:numFmt w:val="bullet"/>
      <w:lvlText w:val=""/>
      <w:lvlJc w:val="left"/>
      <w:pPr>
        <w:ind w:left="6915" w:hanging="360"/>
      </w:pPr>
      <w:rPr>
        <w:rFonts w:ascii="Wingdings" w:hAnsi="Wingdings" w:hint="default"/>
      </w:rPr>
    </w:lvl>
  </w:abstractNum>
  <w:abstractNum w:abstractNumId="9" w15:restartNumberingAfterBreak="0">
    <w:nsid w:val="2DFC63E4"/>
    <w:multiLevelType w:val="hybridMultilevel"/>
    <w:tmpl w:val="FF46E2F4"/>
    <w:lvl w:ilvl="0" w:tplc="DB8AD978">
      <w:numFmt w:val="bullet"/>
      <w:lvlText w:val=""/>
      <w:lvlJc w:val="left"/>
      <w:pPr>
        <w:ind w:left="1636" w:hanging="360"/>
      </w:pPr>
      <w:rPr>
        <w:rFonts w:ascii="Symbol" w:hAnsi="Symbol" w:hint="default"/>
        <w:sz w:val="22"/>
      </w:rPr>
    </w:lvl>
    <w:lvl w:ilvl="1" w:tplc="DB8AD978">
      <w:numFmt w:val="bullet"/>
      <w:lvlText w:val=""/>
      <w:lvlJc w:val="left"/>
      <w:pPr>
        <w:ind w:left="2487" w:hanging="360"/>
      </w:pPr>
      <w:rPr>
        <w:rFonts w:ascii="Symbol" w:hAnsi="Symbol" w:hint="default"/>
        <w:sz w:val="22"/>
      </w:rPr>
    </w:lvl>
    <w:lvl w:ilvl="2" w:tplc="080C0005" w:tentative="1">
      <w:start w:val="1"/>
      <w:numFmt w:val="bullet"/>
      <w:lvlText w:val=""/>
      <w:lvlJc w:val="left"/>
      <w:pPr>
        <w:ind w:left="3076" w:hanging="360"/>
      </w:pPr>
      <w:rPr>
        <w:rFonts w:ascii="Wingdings" w:hAnsi="Wingdings" w:hint="default"/>
      </w:rPr>
    </w:lvl>
    <w:lvl w:ilvl="3" w:tplc="080C0001" w:tentative="1">
      <w:start w:val="1"/>
      <w:numFmt w:val="bullet"/>
      <w:lvlText w:val=""/>
      <w:lvlJc w:val="left"/>
      <w:pPr>
        <w:ind w:left="3796" w:hanging="360"/>
      </w:pPr>
      <w:rPr>
        <w:rFonts w:ascii="Symbol" w:hAnsi="Symbol" w:hint="default"/>
      </w:rPr>
    </w:lvl>
    <w:lvl w:ilvl="4" w:tplc="080C0003" w:tentative="1">
      <w:start w:val="1"/>
      <w:numFmt w:val="bullet"/>
      <w:lvlText w:val="o"/>
      <w:lvlJc w:val="left"/>
      <w:pPr>
        <w:ind w:left="4516" w:hanging="360"/>
      </w:pPr>
      <w:rPr>
        <w:rFonts w:ascii="Courier New" w:hAnsi="Courier New" w:cs="Courier New" w:hint="default"/>
      </w:rPr>
    </w:lvl>
    <w:lvl w:ilvl="5" w:tplc="080C0005" w:tentative="1">
      <w:start w:val="1"/>
      <w:numFmt w:val="bullet"/>
      <w:lvlText w:val=""/>
      <w:lvlJc w:val="left"/>
      <w:pPr>
        <w:ind w:left="5236" w:hanging="360"/>
      </w:pPr>
      <w:rPr>
        <w:rFonts w:ascii="Wingdings" w:hAnsi="Wingdings" w:hint="default"/>
      </w:rPr>
    </w:lvl>
    <w:lvl w:ilvl="6" w:tplc="080C0001" w:tentative="1">
      <w:start w:val="1"/>
      <w:numFmt w:val="bullet"/>
      <w:lvlText w:val=""/>
      <w:lvlJc w:val="left"/>
      <w:pPr>
        <w:ind w:left="5956" w:hanging="360"/>
      </w:pPr>
      <w:rPr>
        <w:rFonts w:ascii="Symbol" w:hAnsi="Symbol" w:hint="default"/>
      </w:rPr>
    </w:lvl>
    <w:lvl w:ilvl="7" w:tplc="080C0003" w:tentative="1">
      <w:start w:val="1"/>
      <w:numFmt w:val="bullet"/>
      <w:lvlText w:val="o"/>
      <w:lvlJc w:val="left"/>
      <w:pPr>
        <w:ind w:left="6676" w:hanging="360"/>
      </w:pPr>
      <w:rPr>
        <w:rFonts w:ascii="Courier New" w:hAnsi="Courier New" w:cs="Courier New" w:hint="default"/>
      </w:rPr>
    </w:lvl>
    <w:lvl w:ilvl="8" w:tplc="080C0005" w:tentative="1">
      <w:start w:val="1"/>
      <w:numFmt w:val="bullet"/>
      <w:lvlText w:val=""/>
      <w:lvlJc w:val="left"/>
      <w:pPr>
        <w:ind w:left="7396" w:hanging="360"/>
      </w:pPr>
      <w:rPr>
        <w:rFonts w:ascii="Wingdings" w:hAnsi="Wingdings" w:hint="default"/>
      </w:rPr>
    </w:lvl>
  </w:abstractNum>
  <w:abstractNum w:abstractNumId="10" w15:restartNumberingAfterBreak="0">
    <w:nsid w:val="33243B16"/>
    <w:multiLevelType w:val="hybridMultilevel"/>
    <w:tmpl w:val="0F42DD1A"/>
    <w:lvl w:ilvl="0" w:tplc="92B80C04">
      <w:start w:val="1"/>
      <w:numFmt w:val="bullet"/>
      <w:lvlText w:val=""/>
      <w:lvlJc w:val="left"/>
      <w:pPr>
        <w:ind w:left="720" w:hanging="360"/>
      </w:pPr>
      <w:rPr>
        <w:rFonts w:ascii="Symbol" w:hAnsi="Symbo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FFD0B01"/>
    <w:multiLevelType w:val="hybridMultilevel"/>
    <w:tmpl w:val="C2D4EB1E"/>
    <w:lvl w:ilvl="0" w:tplc="B91851A4">
      <w:start w:val="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84703D2"/>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52392C59"/>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523D30EE"/>
    <w:multiLevelType w:val="multilevel"/>
    <w:tmpl w:val="77042FCC"/>
    <w:lvl w:ilvl="0">
      <w:start w:val="3"/>
      <w:numFmt w:val="decimal"/>
      <w:lvlText w:val="%1."/>
      <w:lvlJc w:val="left"/>
      <w:pPr>
        <w:ind w:left="720" w:hanging="360"/>
      </w:pPr>
      <w:rPr>
        <w:rFonts w:hint="default"/>
      </w:rPr>
    </w:lvl>
    <w:lvl w:ilvl="1">
      <w:start w:val="4"/>
      <w:numFmt w:val="decimal"/>
      <w:isLgl/>
      <w:lvlText w:val="%1.%2."/>
      <w:lvlJc w:val="left"/>
      <w:pPr>
        <w:ind w:left="1104" w:hanging="396"/>
      </w:pPr>
      <w:rPr>
        <w:rFonts w:hint="default"/>
        <w:color w:val="auto"/>
      </w:rPr>
    </w:lvl>
    <w:lvl w:ilvl="2">
      <w:start w:val="1"/>
      <w:numFmt w:val="decimal"/>
      <w:isLgl/>
      <w:lvlText w:val="%1.%2.%3."/>
      <w:lvlJc w:val="left"/>
      <w:pPr>
        <w:ind w:left="1776" w:hanging="720"/>
      </w:pPr>
      <w:rPr>
        <w:rFonts w:hint="default"/>
        <w:color w:val="auto"/>
      </w:rPr>
    </w:lvl>
    <w:lvl w:ilvl="3">
      <w:start w:val="1"/>
      <w:numFmt w:val="decimal"/>
      <w:isLgl/>
      <w:lvlText w:val="%1.%2.%3.%4."/>
      <w:lvlJc w:val="left"/>
      <w:pPr>
        <w:ind w:left="2124" w:hanging="720"/>
      </w:pPr>
      <w:rPr>
        <w:rFonts w:hint="default"/>
        <w:color w:val="auto"/>
      </w:rPr>
    </w:lvl>
    <w:lvl w:ilvl="4">
      <w:start w:val="1"/>
      <w:numFmt w:val="decimal"/>
      <w:isLgl/>
      <w:lvlText w:val="%1.%2.%3.%4.%5."/>
      <w:lvlJc w:val="left"/>
      <w:pPr>
        <w:ind w:left="2832" w:hanging="1080"/>
      </w:pPr>
      <w:rPr>
        <w:rFonts w:hint="default"/>
        <w:color w:val="auto"/>
      </w:rPr>
    </w:lvl>
    <w:lvl w:ilvl="5">
      <w:start w:val="1"/>
      <w:numFmt w:val="decimal"/>
      <w:isLgl/>
      <w:lvlText w:val="%1.%2.%3.%4.%5.%6."/>
      <w:lvlJc w:val="left"/>
      <w:pPr>
        <w:ind w:left="3180" w:hanging="1080"/>
      </w:pPr>
      <w:rPr>
        <w:rFonts w:hint="default"/>
        <w:color w:val="auto"/>
      </w:rPr>
    </w:lvl>
    <w:lvl w:ilvl="6">
      <w:start w:val="1"/>
      <w:numFmt w:val="decimal"/>
      <w:isLgl/>
      <w:lvlText w:val="%1.%2.%3.%4.%5.%6.%7."/>
      <w:lvlJc w:val="left"/>
      <w:pPr>
        <w:ind w:left="3888" w:hanging="1440"/>
      </w:pPr>
      <w:rPr>
        <w:rFonts w:hint="default"/>
        <w:color w:val="auto"/>
      </w:rPr>
    </w:lvl>
    <w:lvl w:ilvl="7">
      <w:start w:val="1"/>
      <w:numFmt w:val="decimal"/>
      <w:isLgl/>
      <w:lvlText w:val="%1.%2.%3.%4.%5.%6.%7.%8."/>
      <w:lvlJc w:val="left"/>
      <w:pPr>
        <w:ind w:left="4236" w:hanging="1440"/>
      </w:pPr>
      <w:rPr>
        <w:rFonts w:hint="default"/>
        <w:color w:val="auto"/>
      </w:rPr>
    </w:lvl>
    <w:lvl w:ilvl="8">
      <w:start w:val="1"/>
      <w:numFmt w:val="decimal"/>
      <w:isLgl/>
      <w:lvlText w:val="%1.%2.%3.%4.%5.%6.%7.%8.%9."/>
      <w:lvlJc w:val="left"/>
      <w:pPr>
        <w:ind w:left="4944" w:hanging="1800"/>
      </w:pPr>
      <w:rPr>
        <w:rFonts w:hint="default"/>
        <w:color w:val="auto"/>
      </w:rPr>
    </w:lvl>
  </w:abstractNum>
  <w:abstractNum w:abstractNumId="15" w15:restartNumberingAfterBreak="0">
    <w:nsid w:val="52BE1852"/>
    <w:multiLevelType w:val="hybridMultilevel"/>
    <w:tmpl w:val="D632F30A"/>
    <w:lvl w:ilvl="0" w:tplc="5BDA2412">
      <w:numFmt w:val="bullet"/>
      <w:lvlText w:val=""/>
      <w:lvlJc w:val="left"/>
      <w:pPr>
        <w:ind w:left="1211" w:hanging="360"/>
      </w:pPr>
      <w:rPr>
        <w:rFonts w:ascii="Symbol" w:hAnsi="Symbol" w:hint="default"/>
        <w:b w:val="0"/>
        <w:i w:val="0"/>
        <w:caps w:val="0"/>
        <w:strike w:val="0"/>
        <w:dstrike w:val="0"/>
        <w:outline w:val="0"/>
        <w:shadow w:val="0"/>
        <w:emboss w:val="0"/>
        <w:imprint w:val="0"/>
        <w:vanish w:val="0"/>
        <w:sz w:val="22"/>
        <w:vertAlign w:val="baseline"/>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16" w15:restartNumberingAfterBreak="0">
    <w:nsid w:val="545454C7"/>
    <w:multiLevelType w:val="hybridMultilevel"/>
    <w:tmpl w:val="EB0CBB3A"/>
    <w:lvl w:ilvl="0" w:tplc="C9241C1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B6218C1"/>
    <w:multiLevelType w:val="multilevel"/>
    <w:tmpl w:val="B884588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860"/>
        </w:tabs>
        <w:ind w:left="860" w:hanging="435"/>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8" w15:restartNumberingAfterBreak="0">
    <w:nsid w:val="5F0767C8"/>
    <w:multiLevelType w:val="singleLevel"/>
    <w:tmpl w:val="60E22B0A"/>
    <w:lvl w:ilvl="0">
      <w:numFmt w:val="bullet"/>
      <w:lvlText w:val=""/>
      <w:lvlJc w:val="left"/>
      <w:pPr>
        <w:tabs>
          <w:tab w:val="num" w:pos="1211"/>
        </w:tabs>
        <w:ind w:left="1134" w:hanging="283"/>
      </w:pPr>
      <w:rPr>
        <w:rFonts w:ascii="Symbol" w:hAnsi="Symbol" w:hint="default"/>
        <w:b w:val="0"/>
        <w:i w:val="0"/>
        <w:caps w:val="0"/>
        <w:strike w:val="0"/>
        <w:dstrike w:val="0"/>
        <w:outline w:val="0"/>
        <w:shadow w:val="0"/>
        <w:emboss w:val="0"/>
        <w:imprint w:val="0"/>
        <w:vanish w:val="0"/>
        <w:sz w:val="22"/>
        <w:szCs w:val="22"/>
        <w:vertAlign w:val="baseline"/>
      </w:rPr>
    </w:lvl>
  </w:abstractNum>
  <w:abstractNum w:abstractNumId="19" w15:restartNumberingAfterBreak="0">
    <w:nsid w:val="634C18A6"/>
    <w:multiLevelType w:val="hybridMultilevel"/>
    <w:tmpl w:val="A3E87DCC"/>
    <w:lvl w:ilvl="0" w:tplc="92B80C04">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BA56A34"/>
    <w:multiLevelType w:val="hybridMultilevel"/>
    <w:tmpl w:val="2E9A400C"/>
    <w:lvl w:ilvl="0" w:tplc="92B80C04">
      <w:start w:val="1"/>
      <w:numFmt w:val="bullet"/>
      <w:lvlText w:val=""/>
      <w:lvlJc w:val="left"/>
      <w:pPr>
        <w:ind w:left="1070" w:hanging="360"/>
      </w:pPr>
      <w:rPr>
        <w:rFonts w:ascii="Symbol" w:hAnsi="Symbol" w:hint="default"/>
        <w:color w:val="auto"/>
        <w:sz w:val="22"/>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1" w15:restartNumberingAfterBreak="0">
    <w:nsid w:val="7653118C"/>
    <w:multiLevelType w:val="singleLevel"/>
    <w:tmpl w:val="92B80C04"/>
    <w:lvl w:ilvl="0">
      <w:start w:val="1"/>
      <w:numFmt w:val="bullet"/>
      <w:lvlText w:val=""/>
      <w:lvlJc w:val="left"/>
      <w:pPr>
        <w:ind w:left="720" w:hanging="360"/>
      </w:pPr>
      <w:rPr>
        <w:rFonts w:ascii="Symbol" w:hAnsi="Symbol" w:hint="default"/>
        <w:sz w:val="22"/>
      </w:rPr>
    </w:lvl>
  </w:abstractNum>
  <w:num w:numId="1" w16cid:durableId="2045860882">
    <w:abstractNumId w:val="17"/>
  </w:num>
  <w:num w:numId="2" w16cid:durableId="446048809">
    <w:abstractNumId w:val="12"/>
  </w:num>
  <w:num w:numId="3" w16cid:durableId="1435124995">
    <w:abstractNumId w:val="21"/>
  </w:num>
  <w:num w:numId="4" w16cid:durableId="1500075797">
    <w:abstractNumId w:val="5"/>
  </w:num>
  <w:num w:numId="5" w16cid:durableId="902327927">
    <w:abstractNumId w:val="13"/>
  </w:num>
  <w:num w:numId="6" w16cid:durableId="1914580616">
    <w:abstractNumId w:val="7"/>
  </w:num>
  <w:num w:numId="7" w16cid:durableId="1363897288">
    <w:abstractNumId w:val="16"/>
  </w:num>
  <w:num w:numId="8" w16cid:durableId="1566985869">
    <w:abstractNumId w:val="11"/>
  </w:num>
  <w:num w:numId="9" w16cid:durableId="1186406733">
    <w:abstractNumId w:val="6"/>
  </w:num>
  <w:num w:numId="10" w16cid:durableId="1623686421">
    <w:abstractNumId w:val="10"/>
  </w:num>
  <w:num w:numId="11" w16cid:durableId="12269276">
    <w:abstractNumId w:val="19"/>
  </w:num>
  <w:num w:numId="12" w16cid:durableId="137263908">
    <w:abstractNumId w:val="1"/>
  </w:num>
  <w:num w:numId="13" w16cid:durableId="1991058535">
    <w:abstractNumId w:val="2"/>
  </w:num>
  <w:num w:numId="14" w16cid:durableId="665674070">
    <w:abstractNumId w:val="9"/>
  </w:num>
  <w:num w:numId="15" w16cid:durableId="750275886">
    <w:abstractNumId w:val="4"/>
  </w:num>
  <w:num w:numId="16" w16cid:durableId="1724645421">
    <w:abstractNumId w:val="14"/>
  </w:num>
  <w:num w:numId="17" w16cid:durableId="310407185">
    <w:abstractNumId w:val="15"/>
  </w:num>
  <w:num w:numId="18" w16cid:durableId="1356421682">
    <w:abstractNumId w:val="0"/>
  </w:num>
  <w:num w:numId="19" w16cid:durableId="984285449">
    <w:abstractNumId w:val="21"/>
  </w:num>
  <w:num w:numId="20" w16cid:durableId="1443919838">
    <w:abstractNumId w:val="3"/>
  </w:num>
  <w:num w:numId="21" w16cid:durableId="432215800">
    <w:abstractNumId w:val="20"/>
  </w:num>
  <w:num w:numId="22" w16cid:durableId="747311913">
    <w:abstractNumId w:val="18"/>
  </w:num>
  <w:num w:numId="23" w16cid:durableId="1909800122">
    <w:abstractNumId w:val="21"/>
  </w:num>
  <w:num w:numId="24" w16cid:durableId="9113078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86A"/>
    <w:rsid w:val="001D7871"/>
    <w:rsid w:val="0064486A"/>
    <w:rsid w:val="00D019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2C03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2"/>
      <w:szCs w:val="20"/>
      <w:lang w:eastAsia="fr-FR"/>
    </w:rPr>
  </w:style>
  <w:style w:type="paragraph" w:styleId="Titre8">
    <w:name w:val="heading 8"/>
    <w:basedOn w:val="Normal"/>
    <w:next w:val="Normal"/>
    <w:link w:val="Titre8Car"/>
    <w:qFormat/>
    <w:pPr>
      <w:keepNext/>
      <w:ind w:left="71"/>
      <w:outlineLvl w:val="7"/>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basedOn w:val="Policepardfaut"/>
    <w:link w:val="Titre8"/>
    <w:rPr>
      <w:rFonts w:ascii="Times New Roman" w:eastAsia="Times New Roman" w:hAnsi="Times New Roman" w:cs="Times New Roman"/>
      <w:b/>
      <w:sz w:val="20"/>
      <w:szCs w:val="20"/>
      <w:lang w:eastAsia="fr-FR"/>
    </w:rPr>
  </w:style>
  <w:style w:type="paragraph" w:customStyle="1" w:styleId="Texte">
    <w:name w:val="Texte"/>
    <w:basedOn w:val="Normal"/>
    <w:rPr>
      <w:rFonts w:ascii="MS Serif" w:hAnsi="MS Serif"/>
      <w:noProof/>
    </w:rPr>
  </w:style>
  <w:style w:type="paragraph" w:styleId="Pieddepage">
    <w:name w:val="footer"/>
    <w:basedOn w:val="Normal"/>
    <w:link w:val="PieddepageCar"/>
    <w:pPr>
      <w:tabs>
        <w:tab w:val="center" w:pos="4536"/>
        <w:tab w:val="right" w:pos="9072"/>
      </w:tabs>
    </w:pPr>
  </w:style>
  <w:style w:type="character" w:customStyle="1" w:styleId="PieddepageCar">
    <w:name w:val="Pied de page Car"/>
    <w:basedOn w:val="Policepardfaut"/>
    <w:link w:val="Pieddepage"/>
    <w:rPr>
      <w:rFonts w:ascii="Times New Roman" w:eastAsia="Times New Roman" w:hAnsi="Times New Roman" w:cs="Times New Roman"/>
      <w:sz w:val="22"/>
      <w:szCs w:val="20"/>
      <w:lang w:eastAsia="fr-FR"/>
    </w:rPr>
  </w:style>
  <w:style w:type="paragraph" w:styleId="Corpsdetexte">
    <w:name w:val="Body Text"/>
    <w:basedOn w:val="Normal"/>
    <w:link w:val="CorpsdetexteCar"/>
    <w:pPr>
      <w:tabs>
        <w:tab w:val="decimal" w:pos="851"/>
      </w:tabs>
      <w:spacing w:after="120"/>
      <w:ind w:left="907" w:right="-510" w:hanging="113"/>
    </w:pPr>
  </w:style>
  <w:style w:type="character" w:customStyle="1" w:styleId="CorpsdetexteCar">
    <w:name w:val="Corps de texte Car"/>
    <w:basedOn w:val="Policepardfaut"/>
    <w:link w:val="Corpsdetexte"/>
    <w:rPr>
      <w:rFonts w:ascii="Times New Roman" w:eastAsia="Times New Roman" w:hAnsi="Times New Roman" w:cs="Times New Roman"/>
      <w:sz w:val="22"/>
      <w:szCs w:val="20"/>
      <w:lang w:eastAsia="fr-FR"/>
    </w:rPr>
  </w:style>
  <w:style w:type="paragraph" w:styleId="Notedebasdepage">
    <w:name w:val="footnote text"/>
    <w:basedOn w:val="Normal"/>
    <w:link w:val="NotedebasdepageCar"/>
    <w:semiHidden/>
  </w:style>
  <w:style w:type="character" w:customStyle="1" w:styleId="NotedebasdepageCar">
    <w:name w:val="Note de bas de page Car"/>
    <w:basedOn w:val="Policepardfaut"/>
    <w:link w:val="Notedebasdepage"/>
    <w:semiHidden/>
    <w:rPr>
      <w:rFonts w:ascii="Times New Roman" w:eastAsia="Times New Roman" w:hAnsi="Times New Roman" w:cs="Times New Roman"/>
      <w:sz w:val="22"/>
      <w:szCs w:val="20"/>
      <w:lang w:eastAsia="fr-FR"/>
    </w:rPr>
  </w:style>
  <w:style w:type="paragraph" w:customStyle="1" w:styleId="tableauc">
    <w:name w:val="tableauc"/>
    <w:basedOn w:val="Normal"/>
    <w:autoRedefine/>
    <w:pPr>
      <w:jc w:val="center"/>
    </w:pPr>
    <w:rPr>
      <w:b/>
    </w:rPr>
  </w:style>
  <w:style w:type="paragraph" w:styleId="Paragraphedeliste">
    <w:name w:val="List Paragraph"/>
    <w:basedOn w:val="Normal"/>
    <w:uiPriority w:val="34"/>
    <w:qFormat/>
    <w:pPr>
      <w:ind w:left="708"/>
    </w:pPr>
    <w:rPr>
      <w:sz w:val="24"/>
      <w:szCs w:val="24"/>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Times New Roman" w:eastAsia="Times New Roman" w:hAnsi="Times New Roman" w:cs="Times New Roman"/>
      <w:sz w:val="22"/>
      <w:szCs w:val="20"/>
      <w:lang w:eastAsia="fr-FR"/>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Times New Roman" w:hAnsi="Segoe UI" w:cs="Segoe UI"/>
      <w:sz w:val="18"/>
      <w:szCs w:val="18"/>
      <w:lang w:eastAsia="fr-FR"/>
    </w:rPr>
  </w:style>
  <w:style w:type="paragraph" w:styleId="Normalcentr">
    <w:name w:val="Block Text"/>
    <w:basedOn w:val="Normal"/>
    <w:semiHidden/>
    <w:unhideWhenUsed/>
    <w:pPr>
      <w:spacing w:before="240" w:after="120"/>
      <w:ind w:left="425" w:right="108"/>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640912">
      <w:bodyDiv w:val="1"/>
      <w:marLeft w:val="0"/>
      <w:marRight w:val="0"/>
      <w:marTop w:val="0"/>
      <w:marBottom w:val="0"/>
      <w:divBdr>
        <w:top w:val="none" w:sz="0" w:space="0" w:color="auto"/>
        <w:left w:val="none" w:sz="0" w:space="0" w:color="auto"/>
        <w:bottom w:val="none" w:sz="0" w:space="0" w:color="auto"/>
        <w:right w:val="none" w:sz="0" w:space="0" w:color="auto"/>
      </w:divBdr>
    </w:div>
    <w:div w:id="829492131">
      <w:bodyDiv w:val="1"/>
      <w:marLeft w:val="0"/>
      <w:marRight w:val="0"/>
      <w:marTop w:val="0"/>
      <w:marBottom w:val="0"/>
      <w:divBdr>
        <w:top w:val="none" w:sz="0" w:space="0" w:color="auto"/>
        <w:left w:val="none" w:sz="0" w:space="0" w:color="auto"/>
        <w:bottom w:val="none" w:sz="0" w:space="0" w:color="auto"/>
        <w:right w:val="none" w:sz="0" w:space="0" w:color="auto"/>
      </w:divBdr>
    </w:div>
    <w:div w:id="1278101389">
      <w:bodyDiv w:val="1"/>
      <w:marLeft w:val="0"/>
      <w:marRight w:val="0"/>
      <w:marTop w:val="0"/>
      <w:marBottom w:val="0"/>
      <w:divBdr>
        <w:top w:val="none" w:sz="0" w:space="0" w:color="auto"/>
        <w:left w:val="none" w:sz="0" w:space="0" w:color="auto"/>
        <w:bottom w:val="none" w:sz="0" w:space="0" w:color="auto"/>
        <w:right w:val="none" w:sz="0" w:space="0" w:color="auto"/>
      </w:divBdr>
    </w:div>
    <w:div w:id="1385829738">
      <w:bodyDiv w:val="1"/>
      <w:marLeft w:val="0"/>
      <w:marRight w:val="0"/>
      <w:marTop w:val="0"/>
      <w:marBottom w:val="0"/>
      <w:divBdr>
        <w:top w:val="none" w:sz="0" w:space="0" w:color="auto"/>
        <w:left w:val="none" w:sz="0" w:space="0" w:color="auto"/>
        <w:bottom w:val="none" w:sz="0" w:space="0" w:color="auto"/>
        <w:right w:val="none" w:sz="0" w:space="0" w:color="auto"/>
      </w:divBdr>
    </w:div>
    <w:div w:id="1521703006">
      <w:bodyDiv w:val="1"/>
      <w:marLeft w:val="0"/>
      <w:marRight w:val="0"/>
      <w:marTop w:val="0"/>
      <w:marBottom w:val="0"/>
      <w:divBdr>
        <w:top w:val="none" w:sz="0" w:space="0" w:color="auto"/>
        <w:left w:val="none" w:sz="0" w:space="0" w:color="auto"/>
        <w:bottom w:val="none" w:sz="0" w:space="0" w:color="auto"/>
        <w:right w:val="none" w:sz="0" w:space="0" w:color="auto"/>
      </w:divBdr>
    </w:div>
    <w:div w:id="1522160091">
      <w:bodyDiv w:val="1"/>
      <w:marLeft w:val="0"/>
      <w:marRight w:val="0"/>
      <w:marTop w:val="0"/>
      <w:marBottom w:val="0"/>
      <w:divBdr>
        <w:top w:val="none" w:sz="0" w:space="0" w:color="auto"/>
        <w:left w:val="none" w:sz="0" w:space="0" w:color="auto"/>
        <w:bottom w:val="none" w:sz="0" w:space="0" w:color="auto"/>
        <w:right w:val="none" w:sz="0" w:space="0" w:color="auto"/>
      </w:divBdr>
    </w:div>
    <w:div w:id="198269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1350</Words>
  <Characters>7425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goulet02</cp:lastModifiedBy>
  <cp:revision>28</cp:revision>
  <cp:lastPrinted>2019-02-27T13:13:00Z</cp:lastPrinted>
  <dcterms:created xsi:type="dcterms:W3CDTF">2023-09-21T14:15:00Z</dcterms:created>
  <dcterms:modified xsi:type="dcterms:W3CDTF">2024-07-12T11:54:00Z</dcterms:modified>
</cp:coreProperties>
</file>