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B47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:rsidR="00D67B47" w:rsidRDefault="00D67B47">
      <w:pPr>
        <w:pStyle w:val="Texte"/>
        <w:jc w:val="center"/>
        <w:rPr>
          <w:rFonts w:ascii="Times New Roman" w:hAnsi="Times New Roman"/>
          <w:b/>
          <w:noProof w:val="0"/>
        </w:rPr>
      </w:pPr>
    </w:p>
    <w:p w:rsidR="00D67B47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>ADMINISTRATION GENERALE DE L’ENSEIGNEMENT</w:t>
      </w:r>
    </w:p>
    <w:p w:rsidR="00D67B47" w:rsidRDefault="00D67B47">
      <w:pPr>
        <w:pStyle w:val="Texte"/>
        <w:jc w:val="center"/>
        <w:rPr>
          <w:rFonts w:ascii="Times New Roman" w:hAnsi="Times New Roman"/>
          <w:noProof w:val="0"/>
        </w:rPr>
      </w:pPr>
    </w:p>
    <w:p w:rsidR="00D67B47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ENSEIGNEMENT DE PROMOTION SOCIALE</w:t>
      </w:r>
    </w:p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/>
    <w:p w:rsidR="00D67B47" w:rsidRDefault="00D67B47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D67B47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:rsidR="00D67B47" w:rsidRDefault="00D67B47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D67B47" w:rsidRDefault="00000000">
      <w:pPr>
        <w:spacing w:before="120"/>
        <w:jc w:val="center"/>
        <w:rPr>
          <w:b/>
        </w:rPr>
      </w:pPr>
      <w:bookmarkStart w:id="0" w:name="_Hlk529793239"/>
      <w:r>
        <w:rPr>
          <w:b/>
        </w:rPr>
        <w:t>UNITE D’ENSEIGNEMENT</w:t>
      </w:r>
    </w:p>
    <w:p w:rsidR="00D67B47" w:rsidRDefault="00D67B47">
      <w:pPr>
        <w:spacing w:before="120"/>
        <w:jc w:val="center"/>
        <w:rPr>
          <w:b/>
        </w:rPr>
      </w:pPr>
    </w:p>
    <w:bookmarkEnd w:id="0"/>
    <w:p w:rsidR="00D67B47" w:rsidRDefault="00D67B47">
      <w:pPr>
        <w:jc w:val="center"/>
        <w:rPr>
          <w:sz w:val="32"/>
        </w:rPr>
      </w:pPr>
    </w:p>
    <w:p w:rsidR="00D67B47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Orthoptie générale</w:t>
      </w:r>
    </w:p>
    <w:p w:rsidR="00D67B47" w:rsidRDefault="00D67B47">
      <w:pPr>
        <w:jc w:val="center"/>
        <w:rPr>
          <w:sz w:val="32"/>
        </w:rPr>
      </w:pPr>
    </w:p>
    <w:p w:rsidR="00D67B47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:rsidR="00D67B47" w:rsidRDefault="00D67B47">
      <w:pPr>
        <w:jc w:val="center"/>
      </w:pPr>
    </w:p>
    <w:p w:rsidR="00D67B47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1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1"/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D67B47">
        <w:tc>
          <w:tcPr>
            <w:tcW w:w="5529" w:type="dxa"/>
          </w:tcPr>
          <w:p w:rsidR="00D67B47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CODE : 82 46 20 U34 D2</w:t>
            </w:r>
          </w:p>
        </w:tc>
      </w:tr>
      <w:tr w:rsidR="00D67B47">
        <w:tc>
          <w:tcPr>
            <w:tcW w:w="5529" w:type="dxa"/>
          </w:tcPr>
          <w:p w:rsidR="00D67B47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804</w:t>
            </w:r>
          </w:p>
        </w:tc>
      </w:tr>
      <w:tr w:rsidR="00D67B47">
        <w:tc>
          <w:tcPr>
            <w:tcW w:w="5529" w:type="dxa"/>
          </w:tcPr>
          <w:p w:rsidR="00D67B47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</w:pPr>
    </w:p>
    <w:p w:rsidR="00D67B47" w:rsidRDefault="00D67B47">
      <w:pPr>
        <w:jc w:val="center"/>
        <w:rPr>
          <w:b/>
        </w:rPr>
      </w:pPr>
    </w:p>
    <w:p w:rsidR="00D67B47" w:rsidRDefault="00000000">
      <w:pPr>
        <w:jc w:val="center"/>
        <w:rPr>
          <w:b/>
        </w:rPr>
      </w:pPr>
      <w:bookmarkStart w:id="2" w:name="_Hlk529793796"/>
      <w:r>
        <w:rPr>
          <w:b/>
        </w:rPr>
        <w:t xml:space="preserve">Approbation du Gouvernement de la Communauté française du </w:t>
      </w:r>
      <w:r w:rsidR="00CD762F" w:rsidRPr="00CD762F">
        <w:rPr>
          <w:b/>
        </w:rPr>
        <w:t>11 juin 2024</w:t>
      </w:r>
      <w:r w:rsidR="00CD762F">
        <w:rPr>
          <w:b/>
        </w:rPr>
        <w:t>,</w:t>
      </w:r>
    </w:p>
    <w:p w:rsidR="00D67B47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p w:rsidR="00D67B47" w:rsidRDefault="00000000">
      <w:pPr>
        <w:pStyle w:val="tableauc"/>
      </w:pPr>
      <w:r>
        <w:br w:type="page"/>
      </w:r>
      <w:bookmarkEnd w:id="2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67B47">
        <w:tc>
          <w:tcPr>
            <w:tcW w:w="9142" w:type="dxa"/>
          </w:tcPr>
          <w:p w:rsidR="00D67B47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D67B47" w:rsidRDefault="0000000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orthoptie generale</w:t>
            </w:r>
          </w:p>
          <w:p w:rsidR="00D67B47" w:rsidRDefault="00D67B47"/>
          <w:p w:rsidR="00D67B47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:rsidR="00D67B47" w:rsidRDefault="00D67B47">
            <w:pPr>
              <w:jc w:val="center"/>
              <w:rPr>
                <w:b/>
              </w:rPr>
            </w:pPr>
          </w:p>
        </w:tc>
      </w:tr>
    </w:tbl>
    <w:p w:rsidR="00D67B47" w:rsidRDefault="00D67B47"/>
    <w:p w:rsidR="00D67B47" w:rsidRDefault="00000000">
      <w:pPr>
        <w:spacing w:after="120"/>
        <w:ind w:left="426" w:hanging="284"/>
        <w:jc w:val="both"/>
        <w:rPr>
          <w:b/>
          <w:szCs w:val="22"/>
        </w:rPr>
      </w:pPr>
      <w:bookmarkStart w:id="3" w:name="_Hlk529792943"/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bookmarkEnd w:id="3"/>
    <w:p w:rsidR="00D67B47" w:rsidRDefault="00000000">
      <w:pPr>
        <w:spacing w:after="120"/>
        <w:ind w:left="851" w:hanging="425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:rsidR="00D67B47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:rsidR="00D67B47" w:rsidRDefault="00000000">
      <w:pPr>
        <w:numPr>
          <w:ilvl w:val="0"/>
          <w:numId w:val="2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:rsidR="00D67B47" w:rsidRDefault="00000000">
      <w:pPr>
        <w:numPr>
          <w:ilvl w:val="0"/>
          <w:numId w:val="2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:rsidR="00D67B47" w:rsidRDefault="00000000">
      <w:pPr>
        <w:spacing w:after="120"/>
        <w:ind w:left="851" w:hanging="425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:rsidR="00D67B47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 xml:space="preserve">Cette unité d’enseignement vise à permettre à l’étudiant de proposer un bilan orthoptique et une assistance en ophtalmologie adaptée : </w:t>
      </w:r>
    </w:p>
    <w:p w:rsidR="00D67B47" w:rsidRDefault="00000000">
      <w:pPr>
        <w:numPr>
          <w:ilvl w:val="0"/>
          <w:numId w:val="30"/>
        </w:numPr>
        <w:tabs>
          <w:tab w:val="clear" w:pos="360"/>
          <w:tab w:val="num" w:pos="1135"/>
        </w:tabs>
        <w:autoSpaceDE w:val="0"/>
        <w:autoSpaceDN w:val="0"/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de mener, pour un patient non strabique ou strabique, un examen orthoptique complet, dans le souci permanent de son confort ;</w:t>
      </w:r>
    </w:p>
    <w:p w:rsidR="00D67B47" w:rsidRDefault="00000000">
      <w:pPr>
        <w:numPr>
          <w:ilvl w:val="0"/>
          <w:numId w:val="30"/>
        </w:numPr>
        <w:tabs>
          <w:tab w:val="clear" w:pos="360"/>
          <w:tab w:val="num" w:pos="1135"/>
        </w:tabs>
        <w:autoSpaceDE w:val="0"/>
        <w:autoSpaceDN w:val="0"/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d’établir une prise en charge orthoptique globale et le cas échéant de déterminer la puissance d’un prisme ;</w:t>
      </w:r>
    </w:p>
    <w:p w:rsidR="00D67B47" w:rsidRDefault="00000000">
      <w:pPr>
        <w:numPr>
          <w:ilvl w:val="0"/>
          <w:numId w:val="30"/>
        </w:numPr>
        <w:tabs>
          <w:tab w:val="clear" w:pos="360"/>
          <w:tab w:val="num" w:pos="1135"/>
        </w:tabs>
        <w:autoSpaceDE w:val="0"/>
        <w:autoSpaceDN w:val="0"/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d’être un praticien de première ligne dans le cadre du dépistage de problématiques visuelles.</w:t>
      </w:r>
    </w:p>
    <w:p w:rsidR="00D67B47" w:rsidRDefault="00D67B47">
      <w:pPr>
        <w:spacing w:after="120"/>
        <w:jc w:val="both"/>
        <w:rPr>
          <w:szCs w:val="22"/>
        </w:rPr>
      </w:pPr>
    </w:p>
    <w:p w:rsidR="00D67B47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:rsidR="00D67B47" w:rsidRDefault="00000000">
      <w:pPr>
        <w:numPr>
          <w:ilvl w:val="1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:rsidR="00D67B47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base de la réfraction et de la contactologie,</w:t>
      </w:r>
    </w:p>
    <w:p w:rsidR="00D67B47" w:rsidRDefault="00000000">
      <w:pPr>
        <w:spacing w:after="120"/>
        <w:ind w:left="851"/>
        <w:jc w:val="both"/>
        <w:rPr>
          <w:i/>
          <w:iCs/>
          <w:szCs w:val="22"/>
        </w:rPr>
      </w:pPr>
      <w:r>
        <w:rPr>
          <w:i/>
          <w:iCs/>
          <w:szCs w:val="22"/>
        </w:rPr>
        <w:t>face à une situation professionnelle élémentaire,</w:t>
      </w:r>
    </w:p>
    <w:p w:rsidR="00D67B47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iCs/>
          <w:szCs w:val="22"/>
        </w:rPr>
        <w:t>en disposant des documents, des instruments et du matériel nécessaire,</w:t>
      </w:r>
      <w:r>
        <w:rPr>
          <w:i/>
          <w:szCs w:val="22"/>
        </w:rPr>
        <w:t xml:space="preserve"> </w:t>
      </w:r>
    </w:p>
    <w:p w:rsidR="00D67B47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une prescription et une description de cas,</w:t>
      </w:r>
    </w:p>
    <w:p w:rsidR="00D67B47" w:rsidRDefault="00000000">
      <w:pPr>
        <w:numPr>
          <w:ilvl w:val="0"/>
          <w:numId w:val="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le(s) type(s) d’amétropie ; </w:t>
      </w:r>
    </w:p>
    <w:p w:rsidR="00D67B47" w:rsidRDefault="00000000">
      <w:pPr>
        <w:numPr>
          <w:ilvl w:val="0"/>
          <w:numId w:val="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et mettre en œuvre pour chaque étape de la réfraction une stratégie d’analyse et d’interprétation des résultats et choisir la solution la plus appropriée ;</w:t>
      </w:r>
    </w:p>
    <w:p w:rsidR="00D67B47" w:rsidRDefault="00000000">
      <w:pPr>
        <w:numPr>
          <w:ilvl w:val="0"/>
          <w:numId w:val="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appliquer les normes d’hygiène et de sécurité en contactologie, en s’appuyant sur les principes et les lois de la microbiologie ;</w:t>
      </w:r>
    </w:p>
    <w:p w:rsidR="00D67B47" w:rsidRDefault="00000000">
      <w:pPr>
        <w:numPr>
          <w:ilvl w:val="0"/>
          <w:numId w:val="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et classer tous types de lentilles ainsi que les différents types de produit d’entretien et mettre en œuvre, en fonction du type de lentilles, une méthodologie à respecter pour la manipulation et l’entretien ;</w:t>
      </w:r>
    </w:p>
    <w:p w:rsidR="00D67B47" w:rsidRDefault="00000000">
      <w:pPr>
        <w:numPr>
          <w:ilvl w:val="0"/>
          <w:numId w:val="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les différents types de verres (unifocal, progressif …), expliquer leurs avantages et inconvénients en fonction des besoins visuels et réaliser la mesure du type de verres à l’aide du matériel approprié en respectant les normes de précision et la transcrire sur le dossier patient.</w:t>
      </w:r>
    </w:p>
    <w:p w:rsidR="00D67B47" w:rsidRDefault="00000000">
      <w:pPr>
        <w:numPr>
          <w:ilvl w:val="1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:rsidR="00D67B47" w:rsidRDefault="00000000">
      <w:pPr>
        <w:spacing w:after="120"/>
        <w:ind w:left="993"/>
        <w:jc w:val="both"/>
        <w:rPr>
          <w:szCs w:val="22"/>
        </w:rPr>
      </w:pPr>
      <w:r>
        <w:rPr>
          <w:szCs w:val="22"/>
        </w:rPr>
        <w:t xml:space="preserve">Attestation de réussite de l’unité d’enseignement </w:t>
      </w:r>
      <w:r>
        <w:rPr>
          <w:b/>
          <w:szCs w:val="22"/>
        </w:rPr>
        <w:t xml:space="preserve">« Base de la réfraction et de la contactologie », </w:t>
      </w:r>
      <w:r>
        <w:rPr>
          <w:szCs w:val="22"/>
        </w:rPr>
        <w:t xml:space="preserve">code n° </w:t>
      </w:r>
      <w:r>
        <w:rPr>
          <w:b/>
          <w:szCs w:val="22"/>
        </w:rPr>
        <w:t>91 43 18 U34 D3</w:t>
      </w:r>
      <w:r>
        <w:rPr>
          <w:szCs w:val="22"/>
        </w:rPr>
        <w:t>, classée dans l’enseignement supérieur de type court</w:t>
      </w:r>
      <w:r>
        <w:rPr>
          <w:smallCaps/>
          <w:szCs w:val="22"/>
        </w:rPr>
        <w:t>.</w:t>
      </w:r>
    </w:p>
    <w:p w:rsidR="00D67B47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:rsidR="00D67B47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pour une situation professionnelle d’orthoptie définie,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et dans le cadre d’un examen de dépistage,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disposant de la documentation nécessaire (résultats d’examens cliniques, d’examens visuels, projections…)</w:t>
      </w:r>
    </w:p>
    <w:p w:rsidR="00D67B47" w:rsidRDefault="00000000">
      <w:pPr>
        <w:pStyle w:val="Paragraphedeliste"/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de décrire et de proposer le bilan orthoptique adapté au cas clinique ;</w:t>
      </w:r>
    </w:p>
    <w:p w:rsidR="00D67B47" w:rsidRDefault="00000000">
      <w:pPr>
        <w:pStyle w:val="Paragraphedeliste"/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de déterminer la puissance optimale du prisme ;</w:t>
      </w:r>
    </w:p>
    <w:p w:rsidR="00D67B47" w:rsidRDefault="00000000">
      <w:pPr>
        <w:numPr>
          <w:ilvl w:val="0"/>
          <w:numId w:val="23"/>
        </w:numPr>
        <w:shd w:val="clear" w:color="auto" w:fill="FFFFFF"/>
        <w:spacing w:after="120"/>
        <w:jc w:val="both"/>
        <w:rPr>
          <w:color w:val="000000"/>
          <w:szCs w:val="22"/>
        </w:rPr>
      </w:pPr>
      <w:r>
        <w:rPr>
          <w:color w:val="000000"/>
          <w:szCs w:val="22"/>
        </w:rPr>
        <w:t>de sélectionner et de justifier le ou les examen(s) dans le cadre et d’une exploration fonctionnelle et structurelle de l’œil et du système visuel ;</w:t>
      </w:r>
    </w:p>
    <w:p w:rsidR="00D67B47" w:rsidRDefault="00000000">
      <w:pPr>
        <w:numPr>
          <w:ilvl w:val="0"/>
          <w:numId w:val="23"/>
        </w:numPr>
        <w:shd w:val="clear" w:color="auto" w:fill="FFFFFF"/>
        <w:spacing w:after="120"/>
        <w:jc w:val="both"/>
        <w:rPr>
          <w:rStyle w:val="eop"/>
          <w:color w:val="000000"/>
          <w:szCs w:val="22"/>
        </w:rPr>
      </w:pPr>
      <w:r>
        <w:rPr>
          <w:rStyle w:val="normaltextrun"/>
          <w:color w:val="000000"/>
          <w:szCs w:val="22"/>
        </w:rPr>
        <w:t>de transmettre le résultat à un professionnel de la santé. </w:t>
      </w:r>
    </w:p>
    <w:p w:rsidR="00D67B47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 :</w:t>
      </w:r>
    </w:p>
    <w:p w:rsidR="00D67B47" w:rsidRDefault="00000000">
      <w:pPr>
        <w:numPr>
          <w:ilvl w:val="0"/>
          <w:numId w:val="42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d’organisation et de dextérité : la capacité d’organisation de l’environnement spatial et matériel propre au soin, la maitrise gestuelle et du timing,</w:t>
      </w:r>
    </w:p>
    <w:p w:rsidR="00D67B47" w:rsidRDefault="00000000">
      <w:pPr>
        <w:numPr>
          <w:ilvl w:val="0"/>
          <w:numId w:val="42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pour former un ensemble organisé,</w:t>
      </w:r>
    </w:p>
    <w:p w:rsidR="00D67B47" w:rsidRDefault="00000000">
      <w:pPr>
        <w:numPr>
          <w:ilvl w:val="0"/>
          <w:numId w:val="42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:rsidR="00D67B47" w:rsidRDefault="00000000">
      <w:pPr>
        <w:numPr>
          <w:ilvl w:val="0"/>
          <w:numId w:val="42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:rsidR="00D67B47" w:rsidRDefault="00000000">
      <w:pPr>
        <w:numPr>
          <w:ilvl w:val="0"/>
          <w:numId w:val="42"/>
        </w:numPr>
        <w:autoSpaceDE w:val="0"/>
        <w:autoSpaceDN w:val="0"/>
        <w:spacing w:after="120"/>
        <w:ind w:right="-143"/>
        <w:jc w:val="both"/>
        <w:rPr>
          <w:szCs w:val="22"/>
        </w:rPr>
      </w:pPr>
      <w:r>
        <w:t>le</w:t>
      </w:r>
      <w:r>
        <w:rPr>
          <w:szCs w:val="22"/>
        </w:rPr>
        <w:t xml:space="preserve"> niveau d’autonomie : la capacité à faire preuve d’initiatives démontrant une réflexion personnelle basée sur une exploitation des ressources et des idées en interdépendance avec son environnement.</w:t>
      </w:r>
    </w:p>
    <w:p w:rsidR="00D67B47" w:rsidRDefault="00D67B47">
      <w:pPr>
        <w:tabs>
          <w:tab w:val="left" w:pos="709"/>
        </w:tabs>
        <w:spacing w:after="120"/>
        <w:ind w:left="720"/>
        <w:jc w:val="both"/>
        <w:rPr>
          <w:szCs w:val="22"/>
        </w:rPr>
      </w:pPr>
    </w:p>
    <w:p w:rsidR="00D67B47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:rsidR="00D67B47" w:rsidRDefault="00000000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pour des situations pratiques professionnelles d’orthoptie définies,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disposant de la documentation nécessaire (résultats d’examens cliniques, d’examens visuels, projections…) et du matériel adéquat,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dans le respect des conditions d’hygiène, de sécurité et d’asepsie,</w:t>
      </w:r>
    </w:p>
    <w:p w:rsidR="00D67B47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dans le respect des conditions précises de réalisation de ces examens (installation du patient, facteurs entrant en jeu pour une bonne réalisation …),</w:t>
      </w:r>
    </w:p>
    <w:p w:rsidR="00D67B47" w:rsidRDefault="00000000">
      <w:pPr>
        <w:tabs>
          <w:tab w:val="left" w:pos="851"/>
        </w:tabs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4.1.</w:t>
      </w:r>
      <w:r>
        <w:rPr>
          <w:b/>
          <w:szCs w:val="22"/>
        </w:rPr>
        <w:tab/>
      </w:r>
      <w:r>
        <w:rPr>
          <w:rStyle w:val="normaltextrun"/>
          <w:b/>
          <w:bCs/>
          <w:szCs w:val="22"/>
        </w:rPr>
        <w:t>Méthodes d’exploration technique du système visuel</w:t>
      </w:r>
      <w:r>
        <w:rPr>
          <w:rStyle w:val="eop"/>
          <w:szCs w:val="22"/>
        </w:rPr>
        <w:t> 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dans le cadre des examens de dépistage, de différencier les examens d’exploration fonctionnelle des examens d’exploration structurelle de l’œil et du système visuel (imagerie, tension oculaire, périmétrie …)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pour chaque examen, d’expliciter leurs objectifs et leurs spécificités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d’expliquer les conditions précises de réalisation de ces examens (installation du patient, facteurs entrant en jeu pour une bonne réalisation, règles d’hygiène et de sécurité)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décrire les résultats normaux attendus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comprendre le bilan sensoriel : </w:t>
      </w:r>
    </w:p>
    <w:p w:rsidR="00D67B47" w:rsidRDefault="00000000">
      <w:pPr>
        <w:pStyle w:val="paragraph"/>
        <w:numPr>
          <w:ilvl w:val="0"/>
          <w:numId w:val="35"/>
        </w:numPr>
        <w:tabs>
          <w:tab w:val="clear" w:pos="1372"/>
          <w:tab w:val="num" w:pos="1560"/>
        </w:tabs>
        <w:spacing w:before="0" w:beforeAutospacing="0" w:after="120" w:afterAutospacing="0"/>
        <w:ind w:left="1560" w:hanging="284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d’exposer, de sélectionner et de justifier les différentes méthodes d’exploration de la fonction monoculaire,</w:t>
      </w:r>
    </w:p>
    <w:p w:rsidR="00D67B47" w:rsidRDefault="00000000">
      <w:pPr>
        <w:pStyle w:val="paragraph"/>
        <w:numPr>
          <w:ilvl w:val="0"/>
          <w:numId w:val="35"/>
        </w:numPr>
        <w:tabs>
          <w:tab w:val="clear" w:pos="1372"/>
          <w:tab w:val="num" w:pos="1560"/>
        </w:tabs>
        <w:spacing w:before="0" w:beforeAutospacing="0" w:after="120" w:afterAutospacing="0"/>
        <w:ind w:left="1560" w:hanging="284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d’expliquer les spécificités des tests de correspondance rétinienne et de vision stéréoscopique lors de l’exploration de la vision binoculaire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rStyle w:val="normaltextrun"/>
          <w:sz w:val="22"/>
          <w:szCs w:val="22"/>
        </w:rPr>
      </w:pPr>
      <w:r>
        <w:rPr>
          <w:sz w:val="22"/>
          <w:szCs w:val="22"/>
        </w:rPr>
        <w:t>d’élaborer</w:t>
      </w:r>
      <w:r>
        <w:rPr>
          <w:rStyle w:val="normaltextrun"/>
          <w:sz w:val="22"/>
          <w:szCs w:val="22"/>
        </w:rPr>
        <w:t xml:space="preserve"> une communication des résultats, formalisée en veillant au respect des normes en vigueur, à destination des spécialistes de la santé.</w:t>
      </w:r>
    </w:p>
    <w:p w:rsidR="00D67B47" w:rsidRDefault="00000000">
      <w:pPr>
        <w:tabs>
          <w:tab w:val="left" w:pos="851"/>
        </w:tabs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4.2.</w:t>
      </w:r>
      <w:r>
        <w:rPr>
          <w:b/>
          <w:szCs w:val="22"/>
        </w:rPr>
        <w:tab/>
      </w:r>
      <w:r>
        <w:rPr>
          <w:rStyle w:val="normaltextrun"/>
          <w:b/>
          <w:bCs/>
          <w:color w:val="000000"/>
          <w:szCs w:val="22"/>
          <w:bdr w:val="none" w:sz="0" w:space="0" w:color="auto" w:frame="1"/>
        </w:rPr>
        <w:t>Méthodes d’examen et d’exploration orthoptique : travaux pratiques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sélectionner, de justifier et de réaliser le ou les examen(s) dans le cadre d’une exploration fonctionnelle ou structurelle de l’œil et du système visuel, adapté(s) à la situation clinique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réaliser le recueil des informations utiles au bon déroulement de l'examen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rStyle w:val="eop"/>
          <w:sz w:val="22"/>
          <w:szCs w:val="22"/>
        </w:rPr>
      </w:pPr>
      <w:r>
        <w:rPr>
          <w:sz w:val="22"/>
          <w:szCs w:val="22"/>
        </w:rPr>
        <w:t>d</w:t>
      </w:r>
      <w:r>
        <w:rPr>
          <w:rStyle w:val="normaltextrun"/>
          <w:sz w:val="22"/>
          <w:szCs w:val="22"/>
        </w:rPr>
        <w:t>e réaliser le bilan sensoriel et moteur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de réaliser le bilan orthoptique et les examens complémentaires qui en découlent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d’élaborer une communication des résultats à destination d’un professionnel de la santé.</w:t>
      </w:r>
    </w:p>
    <w:p w:rsidR="00D67B47" w:rsidRDefault="00000000">
      <w:pPr>
        <w:spacing w:after="120"/>
        <w:ind w:firstLine="708"/>
        <w:jc w:val="both"/>
        <w:rPr>
          <w:rStyle w:val="normaltextrun"/>
          <w:b/>
          <w:bCs/>
          <w:color w:val="000000"/>
          <w:szCs w:val="22"/>
          <w:bdr w:val="none" w:sz="0" w:space="0" w:color="auto" w:frame="1"/>
        </w:rPr>
      </w:pPr>
      <w:r>
        <w:rPr>
          <w:b/>
          <w:bCs/>
          <w:szCs w:val="22"/>
        </w:rPr>
        <w:t xml:space="preserve">4.3 </w:t>
      </w:r>
      <w:r>
        <w:rPr>
          <w:rStyle w:val="normaltextrun"/>
          <w:b/>
          <w:bCs/>
          <w:color w:val="000000"/>
          <w:szCs w:val="22"/>
          <w:bdr w:val="none" w:sz="0" w:space="0" w:color="auto" w:frame="1"/>
        </w:rPr>
        <w:t>Laboratoire d’orthoptie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calculer des effets prismatiques simples et combinés pour tout type de verres (graphique de Weiss,…)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d'expliquer les différentes types de prismes (verres prismatiques, lentilles de Fresnel, effets prismatiques,…)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de justifier le choix du prisme en fonction du cas et de son évolution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d’employer les instruments appropriés à la mesure des verres correcteurs avec des prismes intégrés ;</w:t>
      </w:r>
    </w:p>
    <w:p w:rsidR="00D67B47" w:rsidRDefault="00000000">
      <w:pPr>
        <w:pStyle w:val="Paragraphedeliste"/>
        <w:numPr>
          <w:ilvl w:val="0"/>
          <w:numId w:val="11"/>
        </w:numPr>
        <w:spacing w:after="120"/>
        <w:ind w:left="1276" w:right="57" w:hanging="425"/>
        <w:jc w:val="both"/>
        <w:rPr>
          <w:sz w:val="22"/>
          <w:szCs w:val="22"/>
        </w:rPr>
      </w:pPr>
      <w:r>
        <w:rPr>
          <w:sz w:val="22"/>
          <w:szCs w:val="22"/>
        </w:rPr>
        <w:t>pour tout type de verres correcteurs, de déterminer les puissances, l'axage, la valeur du prisme et de son orientation et de le consigner dans le dossier du patient.</w:t>
      </w:r>
    </w:p>
    <w:p w:rsidR="00D67B47" w:rsidRDefault="00000000">
      <w:pPr>
        <w:rPr>
          <w:szCs w:val="22"/>
          <w:lang w:val="fr-BE"/>
        </w:rPr>
      </w:pPr>
      <w:r>
        <w:rPr>
          <w:szCs w:val="22"/>
          <w:lang w:val="fr-BE"/>
        </w:rPr>
        <w:br w:type="page"/>
      </w:r>
    </w:p>
    <w:p w:rsidR="00D67B47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:rsidR="00D67B47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Pour les activités d’enseignement de « </w:t>
      </w:r>
      <w:r>
        <w:rPr>
          <w:rStyle w:val="normaltextrun"/>
          <w:color w:val="000000"/>
          <w:szCs w:val="22"/>
          <w:bdr w:val="none" w:sz="0" w:space="0" w:color="auto" w:frame="1"/>
        </w:rPr>
        <w:t>Méthodes d’examen et d’exploration orthoptique : travaux pratiques</w:t>
      </w:r>
      <w:r>
        <w:rPr>
          <w:szCs w:val="22"/>
        </w:rPr>
        <w:t xml:space="preserve"> », et de « Laboratoire </w:t>
      </w:r>
      <w:r>
        <w:rPr>
          <w:rStyle w:val="normaltextrun"/>
          <w:color w:val="000000"/>
          <w:szCs w:val="22"/>
          <w:bdr w:val="none" w:sz="0" w:space="0" w:color="auto" w:frame="1"/>
        </w:rPr>
        <w:t>d’orthoptie</w:t>
      </w:r>
      <w:r>
        <w:rPr>
          <w:szCs w:val="22"/>
        </w:rPr>
        <w:t> », il est recommandé de ne pas dépasser trois étudiants par poste de travail.</w:t>
      </w:r>
    </w:p>
    <w:p w:rsidR="00D67B47" w:rsidRDefault="00D67B47">
      <w:pPr>
        <w:spacing w:after="120"/>
        <w:ind w:left="567" w:hanging="141"/>
        <w:jc w:val="both"/>
        <w:rPr>
          <w:szCs w:val="22"/>
        </w:rPr>
      </w:pPr>
    </w:p>
    <w:p w:rsidR="00D67B47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:rsidR="00D67B47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:rsidR="00D67B47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:rsidR="00D67B47" w:rsidRDefault="00D67B47">
      <w:pPr>
        <w:spacing w:after="120"/>
        <w:ind w:left="567" w:hanging="141"/>
        <w:jc w:val="both"/>
        <w:rPr>
          <w:szCs w:val="22"/>
        </w:rPr>
      </w:pPr>
    </w:p>
    <w:p w:rsidR="00D67B47" w:rsidRDefault="00000000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:rsidR="00D67B47" w:rsidRDefault="00D67B47">
      <w:pPr>
        <w:ind w:left="426"/>
        <w:rPr>
          <w:b/>
        </w:rPr>
      </w:pPr>
    </w:p>
    <w:tbl>
      <w:tblPr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992"/>
        <w:gridCol w:w="1843"/>
      </w:tblGrid>
      <w:tr w:rsidR="00D67B47">
        <w:tc>
          <w:tcPr>
            <w:tcW w:w="4536" w:type="dxa"/>
          </w:tcPr>
          <w:p w:rsidR="00D67B47" w:rsidRDefault="00D67B47">
            <w:pPr>
              <w:ind w:left="71"/>
              <w:rPr>
                <w:szCs w:val="22"/>
              </w:rPr>
            </w:pPr>
          </w:p>
          <w:p w:rsidR="00D67B47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:rsidR="00D67B47" w:rsidRDefault="00D67B47">
            <w:pPr>
              <w:ind w:left="71"/>
              <w:rPr>
                <w:szCs w:val="22"/>
              </w:rPr>
            </w:pPr>
          </w:p>
        </w:tc>
        <w:tc>
          <w:tcPr>
            <w:tcW w:w="1559" w:type="dxa"/>
          </w:tcPr>
          <w:p w:rsidR="00D67B47" w:rsidRDefault="00D67B47">
            <w:pPr>
              <w:jc w:val="center"/>
              <w:rPr>
                <w:b/>
                <w:szCs w:val="22"/>
              </w:rPr>
            </w:pPr>
          </w:p>
          <w:p w:rsidR="00D67B4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:rsidR="00D67B47" w:rsidRDefault="00D67B47">
            <w:pPr>
              <w:rPr>
                <w:b/>
                <w:szCs w:val="22"/>
              </w:rPr>
            </w:pPr>
          </w:p>
          <w:p w:rsidR="00D67B4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843" w:type="dxa"/>
          </w:tcPr>
          <w:p w:rsidR="00D67B47" w:rsidRDefault="00D67B47">
            <w:pPr>
              <w:jc w:val="center"/>
              <w:rPr>
                <w:b/>
                <w:szCs w:val="22"/>
              </w:rPr>
            </w:pPr>
          </w:p>
          <w:p w:rsidR="00D67B4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D67B47">
        <w:tc>
          <w:tcPr>
            <w:tcW w:w="4536" w:type="dxa"/>
            <w:tcBorders>
              <w:bottom w:val="single" w:sz="4" w:space="0" w:color="auto"/>
            </w:tcBorders>
          </w:tcPr>
          <w:p w:rsidR="00D67B47" w:rsidRDefault="00000000">
            <w:pPr>
              <w:rPr>
                <w:szCs w:val="22"/>
              </w:rPr>
            </w:pPr>
            <w:r>
              <w:rPr>
                <w:rStyle w:val="normaltextrun"/>
              </w:rPr>
              <w:t>Méthodes d’exploration technique du système visuel</w:t>
            </w:r>
            <w:r>
              <w:rPr>
                <w:rStyle w:val="eop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7B47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D67B47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rPr>
                <w:szCs w:val="22"/>
              </w:rPr>
            </w:pPr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Méthodes d’examen et d’exploration orthoptique : travaux pratiques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</w:tr>
      <w:tr w:rsidR="00D67B47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rPr>
                <w:rStyle w:val="normaltextrun"/>
                <w:color w:val="000000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Laboratoire d’orthoptie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7B47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D67B47">
        <w:trPr>
          <w:cantSplit/>
        </w:trPr>
        <w:tc>
          <w:tcPr>
            <w:tcW w:w="6095" w:type="dxa"/>
            <w:gridSpan w:val="2"/>
            <w:tcBorders>
              <w:bottom w:val="single" w:sz="12" w:space="0" w:color="auto"/>
              <w:right w:val="nil"/>
            </w:tcBorders>
          </w:tcPr>
          <w:p w:rsidR="00D67B47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:rsidR="00D67B4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67B47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D67B47">
        <w:trPr>
          <w:cantSplit/>
        </w:trPr>
        <w:tc>
          <w:tcPr>
            <w:tcW w:w="7087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67B47" w:rsidRDefault="0000000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67B47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80</w:t>
            </w:r>
          </w:p>
        </w:tc>
      </w:tr>
      <w:tr w:rsidR="00D67B47">
        <w:trPr>
          <w:cantSplit/>
        </w:trPr>
        <w:tc>
          <w:tcPr>
            <w:tcW w:w="7087" w:type="dxa"/>
            <w:gridSpan w:val="3"/>
            <w:tcBorders>
              <w:top w:val="single" w:sz="12" w:space="0" w:color="auto"/>
              <w:right w:val="nil"/>
            </w:tcBorders>
          </w:tcPr>
          <w:p w:rsidR="00D67B47" w:rsidRDefault="0000000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67B47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6</w:t>
            </w:r>
          </w:p>
        </w:tc>
      </w:tr>
    </w:tbl>
    <w:p w:rsidR="00D67B47" w:rsidRDefault="00D67B47"/>
    <w:p w:rsidR="00D67B47" w:rsidRDefault="00D67B47"/>
    <w:sectPr w:rsidR="00D67B47">
      <w:footerReference w:type="default" r:id="rId8"/>
      <w:pgSz w:w="11907" w:h="16840"/>
      <w:pgMar w:top="993" w:right="1275" w:bottom="1418" w:left="1276" w:header="720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5DF" w:rsidRDefault="003855DF">
      <w:r>
        <w:separator/>
      </w:r>
    </w:p>
  </w:endnote>
  <w:endnote w:type="continuationSeparator" w:id="0">
    <w:p w:rsidR="003855DF" w:rsidRDefault="0038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B47" w:rsidRDefault="00000000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>Orthoptie générale</w:t>
    </w:r>
    <w:r>
      <w:rPr>
        <w:color w:val="002060"/>
        <w:sz w:val="20"/>
        <w:lang w:val="fr-BE"/>
      </w:rPr>
      <w:tab/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5DF" w:rsidRDefault="003855DF">
      <w:r>
        <w:separator/>
      </w:r>
    </w:p>
  </w:footnote>
  <w:footnote w:type="continuationSeparator" w:id="0">
    <w:p w:rsidR="003855DF" w:rsidRDefault="0038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742"/>
    <w:multiLevelType w:val="hybridMultilevel"/>
    <w:tmpl w:val="FAF6732A"/>
    <w:lvl w:ilvl="0" w:tplc="9886B7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338"/>
    <w:multiLevelType w:val="hybridMultilevel"/>
    <w:tmpl w:val="A26A2B86"/>
    <w:lvl w:ilvl="0" w:tplc="BCA45A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126"/>
    <w:multiLevelType w:val="hybridMultilevel"/>
    <w:tmpl w:val="0C8C91B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65008"/>
    <w:multiLevelType w:val="hybridMultilevel"/>
    <w:tmpl w:val="3176D284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159"/>
    <w:multiLevelType w:val="multilevel"/>
    <w:tmpl w:val="E5E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A64AA"/>
    <w:multiLevelType w:val="multilevel"/>
    <w:tmpl w:val="77FECE6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B1C5A"/>
    <w:multiLevelType w:val="hybridMultilevel"/>
    <w:tmpl w:val="B34E3D76"/>
    <w:lvl w:ilvl="0" w:tplc="FAB450A2">
      <w:start w:val="4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C745449"/>
    <w:multiLevelType w:val="singleLevel"/>
    <w:tmpl w:val="E6DA00DC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8" w15:restartNumberingAfterBreak="0">
    <w:nsid w:val="1DE16EE0"/>
    <w:multiLevelType w:val="hybridMultilevel"/>
    <w:tmpl w:val="3EB6257E"/>
    <w:lvl w:ilvl="0" w:tplc="FAB450A2">
      <w:start w:val="4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9C6EC9"/>
    <w:multiLevelType w:val="hybridMultilevel"/>
    <w:tmpl w:val="A36AB2A6"/>
    <w:lvl w:ilvl="0" w:tplc="FAB450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4435"/>
    <w:multiLevelType w:val="multilevel"/>
    <w:tmpl w:val="341C6AFA"/>
    <w:lvl w:ilvl="0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2A2E46"/>
    <w:multiLevelType w:val="hybridMultilevel"/>
    <w:tmpl w:val="EE12DC04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51DB1"/>
    <w:multiLevelType w:val="multilevel"/>
    <w:tmpl w:val="6D68AA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30A4392F"/>
    <w:multiLevelType w:val="multilevel"/>
    <w:tmpl w:val="1A2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47BA5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16" w15:restartNumberingAfterBreak="0">
    <w:nsid w:val="3C27573C"/>
    <w:multiLevelType w:val="hybridMultilevel"/>
    <w:tmpl w:val="D70A5BE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B01"/>
    <w:multiLevelType w:val="hybridMultilevel"/>
    <w:tmpl w:val="C2D4EB1E"/>
    <w:lvl w:ilvl="0" w:tplc="B91851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42E7"/>
    <w:multiLevelType w:val="hybridMultilevel"/>
    <w:tmpl w:val="6B8EA61A"/>
    <w:lvl w:ilvl="0" w:tplc="836C51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48651182"/>
    <w:multiLevelType w:val="multilevel"/>
    <w:tmpl w:val="C0A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94E30"/>
    <w:multiLevelType w:val="hybridMultilevel"/>
    <w:tmpl w:val="B5D08E48"/>
    <w:lvl w:ilvl="0" w:tplc="EBACBA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55C4757B"/>
    <w:multiLevelType w:val="multilevel"/>
    <w:tmpl w:val="9618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5" w15:restartNumberingAfterBreak="0">
    <w:nsid w:val="5BB15C8C"/>
    <w:multiLevelType w:val="multilevel"/>
    <w:tmpl w:val="839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3E56CC"/>
    <w:multiLevelType w:val="hybridMultilevel"/>
    <w:tmpl w:val="83EA4572"/>
    <w:lvl w:ilvl="0" w:tplc="1F067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7C8"/>
    <w:multiLevelType w:val="singleLevel"/>
    <w:tmpl w:val="6D280D64"/>
    <w:lvl w:ilvl="0">
      <w:numFmt w:val="bullet"/>
      <w:lvlText w:val=""/>
      <w:lvlJc w:val="left"/>
      <w:pPr>
        <w:tabs>
          <w:tab w:val="num" w:pos="927"/>
        </w:tabs>
        <w:ind w:left="850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</w:abstractNum>
  <w:abstractNum w:abstractNumId="28" w15:restartNumberingAfterBreak="0">
    <w:nsid w:val="5F976793"/>
    <w:multiLevelType w:val="hybridMultilevel"/>
    <w:tmpl w:val="95F8F4D0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5CBE"/>
    <w:multiLevelType w:val="multilevel"/>
    <w:tmpl w:val="695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4C18A6"/>
    <w:multiLevelType w:val="hybridMultilevel"/>
    <w:tmpl w:val="A3E87DCC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E5000"/>
    <w:multiLevelType w:val="multilevel"/>
    <w:tmpl w:val="B3D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B45531"/>
    <w:multiLevelType w:val="hybridMultilevel"/>
    <w:tmpl w:val="B5C00F22"/>
    <w:lvl w:ilvl="0" w:tplc="EDE05F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D7118"/>
    <w:multiLevelType w:val="hybridMultilevel"/>
    <w:tmpl w:val="7D36E770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F2AC8"/>
    <w:multiLevelType w:val="hybridMultilevel"/>
    <w:tmpl w:val="6A9C6130"/>
    <w:lvl w:ilvl="0" w:tplc="F3A83802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5226F89"/>
    <w:multiLevelType w:val="hybridMultilevel"/>
    <w:tmpl w:val="33189F76"/>
    <w:lvl w:ilvl="0" w:tplc="478C3F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130003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36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7" w15:restartNumberingAfterBreak="0">
    <w:nsid w:val="76F31F88"/>
    <w:multiLevelType w:val="multilevel"/>
    <w:tmpl w:val="DE18ED66"/>
    <w:lvl w:ilvl="0">
      <w:start w:val="1"/>
      <w:numFmt w:val="bullet"/>
      <w:lvlText w:val=""/>
      <w:lvlJc w:val="left"/>
      <w:pPr>
        <w:tabs>
          <w:tab w:val="num" w:pos="1372"/>
        </w:tabs>
        <w:ind w:left="1372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2092"/>
        </w:tabs>
        <w:ind w:left="20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12"/>
        </w:tabs>
        <w:ind w:left="28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52"/>
        </w:tabs>
        <w:ind w:left="425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12"/>
        </w:tabs>
        <w:ind w:left="641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8D42727"/>
    <w:multiLevelType w:val="hybridMultilevel"/>
    <w:tmpl w:val="5E30ABA4"/>
    <w:lvl w:ilvl="0" w:tplc="66B800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58D5"/>
    <w:multiLevelType w:val="hybridMultilevel"/>
    <w:tmpl w:val="66C626E8"/>
    <w:lvl w:ilvl="0" w:tplc="FAB450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87DD6"/>
    <w:multiLevelType w:val="hybridMultilevel"/>
    <w:tmpl w:val="EA404D38"/>
    <w:lvl w:ilvl="0" w:tplc="09DC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C3DA8"/>
    <w:multiLevelType w:val="multilevel"/>
    <w:tmpl w:val="15B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0957274">
    <w:abstractNumId w:val="24"/>
  </w:num>
  <w:num w:numId="2" w16cid:durableId="1774133013">
    <w:abstractNumId w:val="19"/>
  </w:num>
  <w:num w:numId="3" w16cid:durableId="1172834126">
    <w:abstractNumId w:val="36"/>
  </w:num>
  <w:num w:numId="4" w16cid:durableId="1722365753">
    <w:abstractNumId w:val="7"/>
  </w:num>
  <w:num w:numId="5" w16cid:durableId="1448502885">
    <w:abstractNumId w:val="22"/>
  </w:num>
  <w:num w:numId="6" w16cid:durableId="979571982">
    <w:abstractNumId w:val="17"/>
  </w:num>
  <w:num w:numId="7" w16cid:durableId="438380021">
    <w:abstractNumId w:val="38"/>
  </w:num>
  <w:num w:numId="8" w16cid:durableId="1086803744">
    <w:abstractNumId w:val="6"/>
  </w:num>
  <w:num w:numId="9" w16cid:durableId="1475953843">
    <w:abstractNumId w:val="0"/>
  </w:num>
  <w:num w:numId="10" w16cid:durableId="743798152">
    <w:abstractNumId w:val="32"/>
  </w:num>
  <w:num w:numId="11" w16cid:durableId="772281446">
    <w:abstractNumId w:val="33"/>
  </w:num>
  <w:num w:numId="12" w16cid:durableId="890850049">
    <w:abstractNumId w:val="18"/>
  </w:num>
  <w:num w:numId="13" w16cid:durableId="96995832">
    <w:abstractNumId w:val="8"/>
  </w:num>
  <w:num w:numId="14" w16cid:durableId="153106326">
    <w:abstractNumId w:val="9"/>
  </w:num>
  <w:num w:numId="15" w16cid:durableId="420373968">
    <w:abstractNumId w:val="39"/>
  </w:num>
  <w:num w:numId="16" w16cid:durableId="1815171731">
    <w:abstractNumId w:val="40"/>
  </w:num>
  <w:num w:numId="17" w16cid:durableId="1888831823">
    <w:abstractNumId w:val="3"/>
  </w:num>
  <w:num w:numId="18" w16cid:durableId="503513865">
    <w:abstractNumId w:val="16"/>
  </w:num>
  <w:num w:numId="19" w16cid:durableId="139663007">
    <w:abstractNumId w:val="26"/>
  </w:num>
  <w:num w:numId="20" w16cid:durableId="1875145693">
    <w:abstractNumId w:val="14"/>
  </w:num>
  <w:num w:numId="21" w16cid:durableId="1161579828">
    <w:abstractNumId w:val="28"/>
  </w:num>
  <w:num w:numId="22" w16cid:durableId="455414229">
    <w:abstractNumId w:val="4"/>
  </w:num>
  <w:num w:numId="23" w16cid:durableId="376703510">
    <w:abstractNumId w:val="2"/>
  </w:num>
  <w:num w:numId="24" w16cid:durableId="554049912">
    <w:abstractNumId w:val="30"/>
  </w:num>
  <w:num w:numId="25" w16cid:durableId="1835022400">
    <w:abstractNumId w:val="13"/>
  </w:num>
  <w:num w:numId="26" w16cid:durableId="83066422">
    <w:abstractNumId w:val="35"/>
  </w:num>
  <w:num w:numId="27" w16cid:durableId="355351927">
    <w:abstractNumId w:val="34"/>
  </w:num>
  <w:num w:numId="28" w16cid:durableId="1258516286">
    <w:abstractNumId w:val="11"/>
  </w:num>
  <w:num w:numId="29" w16cid:durableId="1443918877">
    <w:abstractNumId w:val="21"/>
  </w:num>
  <w:num w:numId="30" w16cid:durableId="1284727159">
    <w:abstractNumId w:val="15"/>
  </w:num>
  <w:num w:numId="31" w16cid:durableId="1135565879">
    <w:abstractNumId w:val="10"/>
  </w:num>
  <w:num w:numId="32" w16cid:durableId="1677805711">
    <w:abstractNumId w:val="31"/>
  </w:num>
  <w:num w:numId="33" w16cid:durableId="886721492">
    <w:abstractNumId w:val="5"/>
  </w:num>
  <w:num w:numId="34" w16cid:durableId="1895698168">
    <w:abstractNumId w:val="25"/>
  </w:num>
  <w:num w:numId="35" w16cid:durableId="449789877">
    <w:abstractNumId w:val="37"/>
  </w:num>
  <w:num w:numId="36" w16cid:durableId="70734911">
    <w:abstractNumId w:val="23"/>
  </w:num>
  <w:num w:numId="37" w16cid:durableId="1692872013">
    <w:abstractNumId w:val="41"/>
  </w:num>
  <w:num w:numId="38" w16cid:durableId="2144811697">
    <w:abstractNumId w:val="29"/>
  </w:num>
  <w:num w:numId="39" w16cid:durableId="1502886881">
    <w:abstractNumId w:val="1"/>
  </w:num>
  <w:num w:numId="40" w16cid:durableId="596451336">
    <w:abstractNumId w:val="20"/>
  </w:num>
  <w:num w:numId="41" w16cid:durableId="1138914382">
    <w:abstractNumId w:val="27"/>
  </w:num>
  <w:num w:numId="42" w16cid:durableId="598679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47"/>
    <w:rsid w:val="003855DF"/>
    <w:rsid w:val="00CD762F"/>
    <w:rsid w:val="00D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26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pPr>
      <w:keepNext/>
      <w:ind w:left="71"/>
      <w:outlineLvl w:val="7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Texte">
    <w:name w:val="Texte"/>
    <w:basedOn w:val="Normal"/>
    <w:rPr>
      <w:rFonts w:ascii="MS Serif" w:hAnsi="MS Serif"/>
      <w:noProof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Paragraphedeliste">
    <w:name w:val="List Paragraph"/>
    <w:basedOn w:val="Normal"/>
    <w:uiPriority w:val="34"/>
    <w:qFormat/>
    <w:pPr>
      <w:ind w:left="708"/>
    </w:pPr>
    <w:rPr>
      <w:sz w:val="24"/>
      <w:szCs w:val="24"/>
    </w:rPr>
  </w:style>
  <w:style w:type="character" w:customStyle="1" w:styleId="apple-converted-space">
    <w:name w:val="apple-converted-space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25DAE844-F293-4BD2-92F5-D528DE7F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goulet02</cp:lastModifiedBy>
  <cp:revision>45</cp:revision>
  <cp:lastPrinted>2022-11-17T22:13:00Z</cp:lastPrinted>
  <dcterms:created xsi:type="dcterms:W3CDTF">2024-02-01T23:12:00Z</dcterms:created>
  <dcterms:modified xsi:type="dcterms:W3CDTF">2024-07-12T11:56:00Z</dcterms:modified>
</cp:coreProperties>
</file>