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4E8A" w14:textId="77777777" w:rsidR="00DA5F93" w:rsidRDefault="00CE2D01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</w:rPr>
          <w:t>LA COMMUNAUTE FRANCAISE</w:t>
        </w:r>
      </w:smartTag>
    </w:p>
    <w:p w14:paraId="48414E8B" w14:textId="77777777" w:rsidR="00DA5F93" w:rsidRDefault="00DA5F93">
      <w:pPr>
        <w:pStyle w:val="Texte"/>
        <w:jc w:val="center"/>
        <w:rPr>
          <w:rFonts w:ascii="Times New Roman" w:hAnsi="Times New Roman"/>
          <w:b/>
          <w:noProof w:val="0"/>
        </w:rPr>
      </w:pPr>
    </w:p>
    <w:p w14:paraId="48414E8C" w14:textId="77777777" w:rsidR="00DA5F93" w:rsidRDefault="00CE2D01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>ADMINISTRATION GENERALE DE L’ENSEIGNEMENT</w:t>
      </w:r>
    </w:p>
    <w:p w14:paraId="48414E8D" w14:textId="77777777" w:rsidR="00DA5F93" w:rsidRDefault="00DA5F93">
      <w:pPr>
        <w:pStyle w:val="Texte"/>
        <w:jc w:val="center"/>
        <w:rPr>
          <w:rFonts w:ascii="Times New Roman" w:hAnsi="Times New Roman"/>
          <w:noProof w:val="0"/>
        </w:rPr>
      </w:pPr>
    </w:p>
    <w:p w14:paraId="48414E8E" w14:textId="77777777" w:rsidR="00DA5F93" w:rsidRDefault="00CE2D01">
      <w:pPr>
        <w:pStyle w:val="Texte"/>
        <w:jc w:val="center"/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14:paraId="48414E8F" w14:textId="77777777" w:rsidR="00DA5F93" w:rsidRDefault="00DA5F93"/>
    <w:p w14:paraId="48414E90" w14:textId="77777777" w:rsidR="00DA5F93" w:rsidRDefault="00DA5F93"/>
    <w:p w14:paraId="48414E91" w14:textId="77777777" w:rsidR="00DA5F93" w:rsidRDefault="00DA5F93"/>
    <w:p w14:paraId="48414E92" w14:textId="77777777" w:rsidR="00DA5F93" w:rsidRDefault="00DA5F93"/>
    <w:p w14:paraId="48414E93" w14:textId="77777777" w:rsidR="00DA5F93" w:rsidRDefault="00DA5F93"/>
    <w:p w14:paraId="48414E94" w14:textId="77777777" w:rsidR="00DA5F93" w:rsidRDefault="00DA5F93"/>
    <w:p w14:paraId="48414E95" w14:textId="77777777" w:rsidR="00DA5F93" w:rsidRDefault="00DA5F93"/>
    <w:p w14:paraId="48414E96" w14:textId="77777777" w:rsidR="00DA5F93" w:rsidRDefault="00DA5F93"/>
    <w:p w14:paraId="48414E97" w14:textId="77777777" w:rsidR="00DA5F93" w:rsidRDefault="00DA5F93"/>
    <w:p w14:paraId="48414E98" w14:textId="77777777" w:rsidR="00DA5F93" w:rsidRDefault="00DA5F93"/>
    <w:p w14:paraId="48414E99" w14:textId="77777777" w:rsidR="00DA5F93" w:rsidRDefault="00DA5F93"/>
    <w:p w14:paraId="48414E9A" w14:textId="77777777" w:rsidR="00DA5F93" w:rsidRDefault="00DA5F93"/>
    <w:p w14:paraId="48414E9B" w14:textId="77777777" w:rsidR="00DA5F93" w:rsidRDefault="00DA5F93"/>
    <w:p w14:paraId="48414E9C" w14:textId="77777777" w:rsidR="00DA5F93" w:rsidRDefault="00DA5F93"/>
    <w:p w14:paraId="48414E9D" w14:textId="77777777" w:rsidR="00DA5F93" w:rsidRDefault="00DA5F93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8414E9E" w14:textId="77777777" w:rsidR="00DA5F93" w:rsidRDefault="00CE2D01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48414E9F" w14:textId="77777777" w:rsidR="00DA5F93" w:rsidRDefault="00DA5F93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8414EA0" w14:textId="77777777" w:rsidR="00DA5F93" w:rsidRDefault="00CE2D01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48414EA1" w14:textId="77777777" w:rsidR="00DA5F93" w:rsidRDefault="00DA5F93">
      <w:pPr>
        <w:spacing w:before="120"/>
        <w:jc w:val="center"/>
        <w:rPr>
          <w:b/>
        </w:rPr>
      </w:pPr>
    </w:p>
    <w:p w14:paraId="48414EA2" w14:textId="77777777" w:rsidR="00DA5F93" w:rsidRDefault="00DA5F93">
      <w:pPr>
        <w:jc w:val="center"/>
      </w:pPr>
    </w:p>
    <w:p w14:paraId="48414EA3" w14:textId="77777777" w:rsidR="00DA5F93" w:rsidRDefault="00CE2D01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contactologie : Adaptations complexes</w:t>
      </w:r>
    </w:p>
    <w:p w14:paraId="48414EA4" w14:textId="77777777" w:rsidR="00DA5F93" w:rsidRDefault="00DA5F93">
      <w:pPr>
        <w:jc w:val="center"/>
        <w:rPr>
          <w:sz w:val="32"/>
        </w:rPr>
      </w:pPr>
    </w:p>
    <w:p w14:paraId="48414EA5" w14:textId="77777777" w:rsidR="00DA5F93" w:rsidRDefault="00CE2D01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14:paraId="48414EA6" w14:textId="77777777" w:rsidR="00DA5F93" w:rsidRDefault="00DA5F93">
      <w:pPr>
        <w:jc w:val="center"/>
      </w:pPr>
    </w:p>
    <w:p w14:paraId="48414EA7" w14:textId="77777777" w:rsidR="00DA5F93" w:rsidRDefault="00CE2D01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bookmarkStart w:id="0" w:name="_Hlk529792902"/>
      <w:r>
        <w:rPr>
          <w:rFonts w:ascii="Times New Roman" w:hAnsi="Times New Roman"/>
          <w:b/>
          <w:noProof w:val="0"/>
        </w:rPr>
        <w:t>DOMAINE : SCIENCES DE LA SANTE PUBLIQUE</w:t>
      </w:r>
    </w:p>
    <w:bookmarkEnd w:id="0"/>
    <w:p w14:paraId="48414EA8" w14:textId="77777777" w:rsidR="00DA5F93" w:rsidRDefault="00DA5F93">
      <w:pPr>
        <w:jc w:val="center"/>
      </w:pPr>
    </w:p>
    <w:p w14:paraId="48414EA9" w14:textId="77777777" w:rsidR="00DA5F93" w:rsidRDefault="00DA5F93"/>
    <w:p w14:paraId="48414EAA" w14:textId="77777777" w:rsidR="00DA5F93" w:rsidRDefault="00DA5F93">
      <w:pPr>
        <w:jc w:val="center"/>
      </w:pPr>
    </w:p>
    <w:p w14:paraId="48414EAB" w14:textId="77777777" w:rsidR="00DA5F93" w:rsidRDefault="00DA5F93">
      <w:pPr>
        <w:jc w:val="center"/>
      </w:pPr>
    </w:p>
    <w:p w14:paraId="48414EAC" w14:textId="77777777" w:rsidR="00DA5F93" w:rsidRDefault="00DA5F93">
      <w:pPr>
        <w:jc w:val="center"/>
      </w:pPr>
    </w:p>
    <w:p w14:paraId="48414EAD" w14:textId="77777777" w:rsidR="00DA5F93" w:rsidRDefault="00DA5F93">
      <w:pPr>
        <w:jc w:val="center"/>
      </w:pPr>
    </w:p>
    <w:p w14:paraId="48414EAE" w14:textId="77777777" w:rsidR="00DA5F93" w:rsidRDefault="00DA5F93">
      <w:pPr>
        <w:jc w:val="center"/>
      </w:pPr>
    </w:p>
    <w:p w14:paraId="48414EAF" w14:textId="77777777" w:rsidR="00DA5F93" w:rsidRDefault="00DA5F93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DA5F93" w14:paraId="48414EB1" w14:textId="77777777">
        <w:tc>
          <w:tcPr>
            <w:tcW w:w="5529" w:type="dxa"/>
          </w:tcPr>
          <w:p w14:paraId="48414EB0" w14:textId="24513895" w:rsidR="00DA5F93" w:rsidRDefault="00CE2D01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Cs w:val="22"/>
                <w:lang w:val="nl-NL"/>
              </w:rPr>
            </w:pPr>
            <w:proofErr w:type="gramStart"/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CODE :</w:t>
            </w:r>
            <w:proofErr w:type="gramEnd"/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 xml:space="preserve"> 91</w:t>
            </w:r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43</w:t>
            </w:r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20</w:t>
            </w:r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U34</w:t>
            </w:r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D3</w:t>
            </w:r>
          </w:p>
        </w:tc>
      </w:tr>
      <w:tr w:rsidR="00DA5F93" w14:paraId="48414EB3" w14:textId="77777777">
        <w:tc>
          <w:tcPr>
            <w:tcW w:w="5529" w:type="dxa"/>
          </w:tcPr>
          <w:p w14:paraId="48414EB2" w14:textId="77777777" w:rsidR="00DA5F93" w:rsidRDefault="00CE2D01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CODE DU DOMAINE DE FORMATION : 905</w:t>
            </w:r>
          </w:p>
        </w:tc>
      </w:tr>
      <w:tr w:rsidR="00DA5F93" w14:paraId="48414EB5" w14:textId="77777777">
        <w:tc>
          <w:tcPr>
            <w:tcW w:w="5529" w:type="dxa"/>
          </w:tcPr>
          <w:p w14:paraId="48414EB4" w14:textId="77777777" w:rsidR="00DA5F93" w:rsidRDefault="00CE2D01">
            <w:pPr>
              <w:pStyle w:val="Texte"/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DOCUMENT DE REFERENCE INTER-RESEAUX</w:t>
            </w:r>
          </w:p>
        </w:tc>
      </w:tr>
    </w:tbl>
    <w:p w14:paraId="48414EB6" w14:textId="77777777" w:rsidR="00DA5F93" w:rsidRDefault="00DA5F93">
      <w:pPr>
        <w:jc w:val="center"/>
      </w:pPr>
    </w:p>
    <w:p w14:paraId="48414EB7" w14:textId="77777777" w:rsidR="00DA5F93" w:rsidRDefault="00DA5F93">
      <w:pPr>
        <w:jc w:val="center"/>
      </w:pPr>
    </w:p>
    <w:p w14:paraId="48414EB8" w14:textId="77777777" w:rsidR="00DA5F93" w:rsidRDefault="00DA5F93">
      <w:pPr>
        <w:jc w:val="center"/>
      </w:pPr>
    </w:p>
    <w:p w14:paraId="48414EB9" w14:textId="77777777" w:rsidR="00DA5F93" w:rsidRDefault="00DA5F93">
      <w:pPr>
        <w:jc w:val="center"/>
      </w:pPr>
    </w:p>
    <w:p w14:paraId="48414EBA" w14:textId="77777777" w:rsidR="00DA5F93" w:rsidRDefault="00DA5F93">
      <w:pPr>
        <w:jc w:val="center"/>
      </w:pPr>
    </w:p>
    <w:p w14:paraId="48414EBB" w14:textId="77777777" w:rsidR="00DA5F93" w:rsidRDefault="00DA5F93">
      <w:pPr>
        <w:jc w:val="center"/>
      </w:pPr>
    </w:p>
    <w:p w14:paraId="48414EBC" w14:textId="77777777" w:rsidR="00DA5F93" w:rsidRDefault="00DA5F93"/>
    <w:p w14:paraId="48414EBD" w14:textId="77777777" w:rsidR="00DA5F93" w:rsidRDefault="00CE2D01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proofErr w:type="spellStart"/>
      <w:r>
        <w:rPr>
          <w:b/>
        </w:rPr>
        <w:t>xxxxxxxxxx</w:t>
      </w:r>
      <w:proofErr w:type="spellEnd"/>
      <w:r>
        <w:rPr>
          <w:b/>
        </w:rPr>
        <w:t>,</w:t>
      </w:r>
    </w:p>
    <w:p w14:paraId="48414EBE" w14:textId="77777777" w:rsidR="00DA5F93" w:rsidRDefault="00CE2D01">
      <w:pPr>
        <w:jc w:val="center"/>
        <w:rPr>
          <w:b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du Conseil général</w:t>
      </w:r>
    </w:p>
    <w:p w14:paraId="48414EBF" w14:textId="77777777" w:rsidR="00DA5F93" w:rsidRDefault="00CE2D01">
      <w:pPr>
        <w:pStyle w:val="tableauc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A5F93" w14:paraId="48414EC4" w14:textId="77777777">
        <w:tc>
          <w:tcPr>
            <w:tcW w:w="9212" w:type="dxa"/>
          </w:tcPr>
          <w:p w14:paraId="48414EC0" w14:textId="77777777" w:rsidR="00DA5F93" w:rsidRDefault="00CE2D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48414EC1" w14:textId="77777777" w:rsidR="00DA5F93" w:rsidRDefault="00CE2D01">
            <w:pPr>
              <w:jc w:val="center"/>
              <w:rPr>
                <w:sz w:val="28"/>
              </w:rPr>
            </w:pPr>
            <w:r>
              <w:rPr>
                <w:b/>
                <w:caps/>
                <w:sz w:val="28"/>
              </w:rPr>
              <w:t>contactologie : Adaptations complexes</w:t>
            </w:r>
          </w:p>
          <w:p w14:paraId="48414EC2" w14:textId="77777777" w:rsidR="00DA5F93" w:rsidRDefault="00CE2D01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14:paraId="48414EC3" w14:textId="77777777" w:rsidR="00DA5F93" w:rsidRDefault="00DA5F93">
            <w:pPr>
              <w:jc w:val="center"/>
              <w:rPr>
                <w:b/>
              </w:rPr>
            </w:pPr>
          </w:p>
        </w:tc>
      </w:tr>
    </w:tbl>
    <w:p w14:paraId="48414EC5" w14:textId="77777777" w:rsidR="00DA5F93" w:rsidRDefault="00DA5F93"/>
    <w:p w14:paraId="48414EC6" w14:textId="77777777" w:rsidR="00DA5F93" w:rsidRDefault="00CE2D01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p w14:paraId="48414EC7" w14:textId="77777777" w:rsidR="00DA5F93" w:rsidRDefault="00CE2D01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 xml:space="preserve">Finalités </w:t>
      </w:r>
      <w:r>
        <w:rPr>
          <w:b/>
          <w:szCs w:val="22"/>
        </w:rPr>
        <w:t>générales</w:t>
      </w:r>
    </w:p>
    <w:p w14:paraId="48414EC8" w14:textId="77777777" w:rsidR="00DA5F93" w:rsidRDefault="00CE2D01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48414EC9" w14:textId="77777777" w:rsidR="00DA5F93" w:rsidRDefault="00CE2D01">
      <w:pPr>
        <w:numPr>
          <w:ilvl w:val="0"/>
          <w:numId w:val="10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</w:t>
      </w:r>
      <w:r>
        <w:rPr>
          <w:szCs w:val="22"/>
        </w:rPr>
        <w:t>ssionnelle, sociale, culturelle et scolaire ;</w:t>
      </w:r>
    </w:p>
    <w:p w14:paraId="48414ECA" w14:textId="77777777" w:rsidR="00DA5F93" w:rsidRDefault="00CE2D01">
      <w:pPr>
        <w:numPr>
          <w:ilvl w:val="0"/>
          <w:numId w:val="10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48414ECB" w14:textId="77777777" w:rsidR="00DA5F93" w:rsidRDefault="00CE2D01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14:paraId="48414ECC" w14:textId="77777777" w:rsidR="00DA5F93" w:rsidRDefault="00CE2D01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Cette unité d’enseignement vise à permettre à l’étudiant :</w:t>
      </w:r>
    </w:p>
    <w:p w14:paraId="48414ECD" w14:textId="77777777" w:rsidR="00DA5F93" w:rsidRDefault="00CE2D01">
      <w:pPr>
        <w:numPr>
          <w:ilvl w:val="0"/>
          <w:numId w:val="10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d’expliciter les différentes étapes d’une adaptation complexe en tenant compte du porteur (confort, vue, sécurité) et des informations techniques pertinentes ;</w:t>
      </w:r>
    </w:p>
    <w:p w14:paraId="48414ECE" w14:textId="77777777" w:rsidR="00DA5F93" w:rsidRDefault="00CE2D01">
      <w:pPr>
        <w:numPr>
          <w:ilvl w:val="0"/>
          <w:numId w:val="10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de mettre en œuvre les comportements</w:t>
      </w:r>
      <w:r>
        <w:rPr>
          <w:szCs w:val="22"/>
        </w:rPr>
        <w:t xml:space="preserve"> professionnels nécessaires à la conduite d’une adaptation complexe en lentilles de contact.</w:t>
      </w:r>
    </w:p>
    <w:p w14:paraId="48414ECF" w14:textId="77777777" w:rsidR="00DA5F93" w:rsidRDefault="00DA5F93">
      <w:pPr>
        <w:spacing w:after="120"/>
        <w:jc w:val="both"/>
        <w:rPr>
          <w:szCs w:val="22"/>
        </w:rPr>
      </w:pPr>
    </w:p>
    <w:p w14:paraId="48414ED0" w14:textId="77777777" w:rsidR="00DA5F93" w:rsidRDefault="00CE2D01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 xml:space="preserve">2. </w:t>
      </w:r>
      <w:r>
        <w:rPr>
          <w:b/>
          <w:szCs w:val="22"/>
        </w:rPr>
        <w:tab/>
        <w:t>CAPACITES PREALABLES REQUISES</w:t>
      </w:r>
    </w:p>
    <w:p w14:paraId="48414ED1" w14:textId="77777777" w:rsidR="00DA5F93" w:rsidRDefault="00CE2D01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48414ED2" w14:textId="77777777" w:rsidR="00DA5F93" w:rsidRDefault="00CE2D01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 xml:space="preserve">En contactologie </w:t>
      </w:r>
    </w:p>
    <w:p w14:paraId="48414ED3" w14:textId="77777777" w:rsidR="00DA5F93" w:rsidRDefault="00CE2D01">
      <w:pPr>
        <w:spacing w:after="120"/>
        <w:ind w:left="1276" w:hanging="425"/>
        <w:jc w:val="both"/>
        <w:rPr>
          <w:i/>
          <w:iCs/>
          <w:szCs w:val="22"/>
        </w:rPr>
      </w:pPr>
      <w:proofErr w:type="gramStart"/>
      <w:r>
        <w:rPr>
          <w:i/>
          <w:iCs/>
          <w:szCs w:val="22"/>
        </w:rPr>
        <w:t>face</w:t>
      </w:r>
      <w:proofErr w:type="gramEnd"/>
      <w:r>
        <w:rPr>
          <w:i/>
          <w:iCs/>
          <w:szCs w:val="22"/>
        </w:rPr>
        <w:t xml:space="preserve"> à un cas type d’adaptation en lentilles souples et pour une amétropie sphérique,</w:t>
      </w:r>
    </w:p>
    <w:p w14:paraId="48414ED4" w14:textId="77777777" w:rsidR="00DA5F93" w:rsidRDefault="00CE2D01">
      <w:pPr>
        <w:spacing w:after="120"/>
        <w:ind w:left="1276" w:hanging="425"/>
        <w:jc w:val="both"/>
        <w:rPr>
          <w:i/>
          <w:szCs w:val="22"/>
        </w:rPr>
      </w:pPr>
      <w:r>
        <w:rPr>
          <w:i/>
          <w:szCs w:val="22"/>
        </w:rPr>
        <w:t>en disposant d</w:t>
      </w:r>
      <w:r>
        <w:rPr>
          <w:i/>
          <w:szCs w:val="22"/>
        </w:rPr>
        <w:t>e l’équipement, des instruments et du matériel requis,</w:t>
      </w:r>
    </w:p>
    <w:p w14:paraId="48414ED5" w14:textId="77777777" w:rsidR="00DA5F93" w:rsidRDefault="00CE2D01">
      <w:pPr>
        <w:spacing w:after="120"/>
        <w:ind w:left="1276" w:hanging="425"/>
        <w:jc w:val="both"/>
        <w:rPr>
          <w:i/>
          <w:szCs w:val="22"/>
        </w:rPr>
      </w:pPr>
      <w:r>
        <w:rPr>
          <w:i/>
          <w:iCs/>
          <w:szCs w:val="22"/>
        </w:rPr>
        <w:t>en appliquant les normes d’hygiène et de sécurité en contactologie,</w:t>
      </w:r>
    </w:p>
    <w:p w14:paraId="48414ED6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</w:tabs>
        <w:spacing w:after="120"/>
        <w:ind w:left="1276" w:hanging="425"/>
        <w:jc w:val="both"/>
        <w:rPr>
          <w:szCs w:val="22"/>
        </w:rPr>
      </w:pPr>
      <w:bookmarkStart w:id="1" w:name="_Hlk24573328"/>
      <w:r>
        <w:rPr>
          <w:szCs w:val="22"/>
        </w:rPr>
        <w:t xml:space="preserve">mettre en œuvre les comportements opérationnels pour effectuer une adaptation en lentilles de contact souples </w:t>
      </w:r>
      <w:r>
        <w:rPr>
          <w:szCs w:val="22"/>
        </w:rPr>
        <w:t>(observations et mesures préalables, vérification des paramètres, choix et suivi des lentilles, validation et conseils au porteur) et justifier de sa méthodologie ;</w:t>
      </w:r>
    </w:p>
    <w:bookmarkEnd w:id="1"/>
    <w:p w14:paraId="48414ED7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 xml:space="preserve">communiquer les mesures requises pour assurer la conservation des lentilles et de </w:t>
      </w:r>
      <w:r>
        <w:rPr>
          <w:szCs w:val="22"/>
        </w:rPr>
        <w:t>déterminer le meilleur entretien en fonction du matériau et de l’ensemble des paramètres du porteur ;</w:t>
      </w:r>
    </w:p>
    <w:p w14:paraId="48414ED8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analyser les données d’un porteur afin d’élaborer un dossier complet d’adaptation pouvant être utilisé par tout autre professionnel.</w:t>
      </w:r>
    </w:p>
    <w:p w14:paraId="48414ED9" w14:textId="77777777" w:rsidR="00DA5F93" w:rsidRDefault="00CE2D01">
      <w:pPr>
        <w:spacing w:after="120"/>
        <w:ind w:left="425"/>
        <w:jc w:val="both"/>
        <w:rPr>
          <w:b/>
          <w:szCs w:val="22"/>
        </w:rPr>
      </w:pPr>
      <w:r>
        <w:rPr>
          <w:b/>
          <w:szCs w:val="22"/>
        </w:rPr>
        <w:t>2.2.</w:t>
      </w:r>
      <w:r>
        <w:rPr>
          <w:b/>
          <w:szCs w:val="22"/>
        </w:rPr>
        <w:tab/>
        <w:t>Titre pouvant en</w:t>
      </w:r>
      <w:r>
        <w:rPr>
          <w:b/>
          <w:szCs w:val="22"/>
        </w:rPr>
        <w:t xml:space="preserve"> tenir lieu</w:t>
      </w:r>
    </w:p>
    <w:p w14:paraId="48414EDA" w14:textId="77777777" w:rsidR="00DA5F93" w:rsidRDefault="00CE2D01">
      <w:pPr>
        <w:spacing w:after="120"/>
        <w:ind w:left="851"/>
        <w:jc w:val="both"/>
        <w:rPr>
          <w:b/>
          <w:szCs w:val="22"/>
          <w:lang w:val="fr-BE"/>
        </w:rPr>
      </w:pPr>
      <w:r>
        <w:rPr>
          <w:szCs w:val="22"/>
        </w:rPr>
        <w:t>Attestation de réussite de l’unité d’enseignement</w:t>
      </w:r>
      <w:r>
        <w:rPr>
          <w:b/>
          <w:szCs w:val="22"/>
          <w:lang w:val="fr-BE"/>
        </w:rPr>
        <w:t xml:space="preserve"> « Contactologie »</w:t>
      </w:r>
      <w:r>
        <w:rPr>
          <w:szCs w:val="22"/>
          <w:lang w:val="fr-BE"/>
        </w:rPr>
        <w:t xml:space="preserve">, code n° </w:t>
      </w:r>
      <w:r>
        <w:rPr>
          <w:b/>
          <w:szCs w:val="22"/>
          <w:lang w:val="fr-BE"/>
        </w:rPr>
        <w:t>91 43 19 U34 D3</w:t>
      </w:r>
      <w:r>
        <w:rPr>
          <w:szCs w:val="22"/>
          <w:lang w:val="fr-BE"/>
        </w:rPr>
        <w:t>, classée dans</w:t>
      </w:r>
      <w:r>
        <w:rPr>
          <w:szCs w:val="22"/>
        </w:rPr>
        <w:t xml:space="preserve"> l’enseignement supérieur de type court</w:t>
      </w:r>
      <w:r>
        <w:rPr>
          <w:smallCaps/>
          <w:szCs w:val="22"/>
        </w:rPr>
        <w:t>.</w:t>
      </w:r>
    </w:p>
    <w:p w14:paraId="48414EDB" w14:textId="77777777" w:rsidR="00DA5F93" w:rsidRDefault="00CE2D01">
      <w:pPr>
        <w:spacing w:after="120"/>
        <w:jc w:val="both"/>
        <w:rPr>
          <w:b/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14:paraId="48414EDC" w14:textId="77777777" w:rsidR="00DA5F93" w:rsidRDefault="00CE2D01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14:paraId="48414EDD" w14:textId="77777777" w:rsidR="00DA5F93" w:rsidRDefault="00CE2D01">
      <w:pPr>
        <w:spacing w:after="120"/>
        <w:ind w:firstLine="426"/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face à </w:t>
      </w:r>
      <w:r>
        <w:rPr>
          <w:i/>
          <w:iCs/>
          <w:szCs w:val="22"/>
        </w:rPr>
        <w:t>une situation complexe en contactologie,</w:t>
      </w:r>
    </w:p>
    <w:p w14:paraId="48414EDE" w14:textId="77777777" w:rsidR="00DA5F93" w:rsidRDefault="00CE2D01">
      <w:pPr>
        <w:spacing w:after="120"/>
        <w:ind w:left="426"/>
        <w:jc w:val="both"/>
        <w:rPr>
          <w:i/>
          <w:szCs w:val="22"/>
        </w:rPr>
      </w:pPr>
      <w:r>
        <w:rPr>
          <w:i/>
          <w:iCs/>
          <w:szCs w:val="22"/>
        </w:rPr>
        <w:t>en appliquant les normes d’hygiène et de sécurité en contactologie,</w:t>
      </w:r>
    </w:p>
    <w:p w14:paraId="48414EDF" w14:textId="77777777" w:rsidR="00DA5F93" w:rsidRDefault="00CE2D01">
      <w:pPr>
        <w:spacing w:after="120"/>
        <w:ind w:left="426"/>
        <w:jc w:val="both"/>
        <w:rPr>
          <w:i/>
        </w:rPr>
      </w:pPr>
      <w:r>
        <w:rPr>
          <w:i/>
        </w:rPr>
        <w:t>en disposant de l’équipement, des instruments et du matériel requis,</w:t>
      </w:r>
    </w:p>
    <w:p w14:paraId="48414EE0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 xml:space="preserve">d’élaborer un dossier d’adaptation complexe en lentilles de contact en tenant </w:t>
      </w:r>
      <w:r>
        <w:rPr>
          <w:szCs w:val="22"/>
        </w:rPr>
        <w:t>compte des attentes et des besoins du porteur (tout type de porteur amétrope ou non), des contraintes environnementales, visuelles et physiologiques, des lentilles disponibles sur le marché ;</w:t>
      </w:r>
    </w:p>
    <w:p w14:paraId="48414EE1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de mettre en œuvre les comportements opérationnels pour procéder</w:t>
      </w:r>
      <w:r>
        <w:rPr>
          <w:szCs w:val="22"/>
        </w:rPr>
        <w:t xml:space="preserve"> à l’adaptation d’un cas complexe en lentilles de contact ;</w:t>
      </w:r>
    </w:p>
    <w:p w14:paraId="48414EE2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de justifier la procédure et les choix d’adaptation en se référant aux cadres théoriques et de rédiger un rapport destiné à tout autre professionnel ;</w:t>
      </w:r>
    </w:p>
    <w:p w14:paraId="48414EE3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d’estimer le coût des lentilles, le coût de l</w:t>
      </w:r>
      <w:r>
        <w:rPr>
          <w:szCs w:val="22"/>
        </w:rPr>
        <w:t>eur entretien et de leur adaptation selon la proposition adoptée, en tenant compte de l'intervention des assurances et de la sécurité sociale.</w:t>
      </w:r>
    </w:p>
    <w:p w14:paraId="48414EE4" w14:textId="77777777" w:rsidR="00DA5F93" w:rsidRDefault="00CE2D01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 :</w:t>
      </w:r>
    </w:p>
    <w:p w14:paraId="48414EE5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 xml:space="preserve">le niveau </w:t>
      </w:r>
      <w:r>
        <w:rPr>
          <w:szCs w:val="22"/>
        </w:rPr>
        <w:t>d’organisation et de dextérité : la capacité d’organisation de l’environnement spatial et matériel propre au soin, la maitrise gestuelle et du timing,</w:t>
      </w:r>
    </w:p>
    <w:p w14:paraId="48414EE6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le niveau de cohérence : la capacité à établir une majorité de liens logiques pour former un ensemble org</w:t>
      </w:r>
      <w:r>
        <w:rPr>
          <w:szCs w:val="22"/>
        </w:rPr>
        <w:t>anisé,</w:t>
      </w:r>
    </w:p>
    <w:p w14:paraId="48414EE7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14:paraId="48414EE8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</w:t>
      </w:r>
      <w:r>
        <w:rPr>
          <w:szCs w:val="22"/>
        </w:rPr>
        <w:t>ntégrant dans son analyse, son argumentation, sa pratique ou la recherche de solutions,</w:t>
      </w:r>
    </w:p>
    <w:p w14:paraId="48414EE9" w14:textId="77777777" w:rsidR="00DA5F93" w:rsidRDefault="00CE2D01">
      <w:pPr>
        <w:numPr>
          <w:ilvl w:val="0"/>
          <w:numId w:val="12"/>
        </w:numPr>
        <w:tabs>
          <w:tab w:val="clear" w:pos="360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le niveau d’autonomie : la capacité à faire preuve d’initiatives démontrant une réflexion personnelle basée sur une exploitation des ressources et des idées en interdép</w:t>
      </w:r>
      <w:r>
        <w:rPr>
          <w:szCs w:val="22"/>
        </w:rPr>
        <w:t>endance avec son environnement.</w:t>
      </w:r>
    </w:p>
    <w:p w14:paraId="48414EEA" w14:textId="77777777" w:rsidR="00DA5F93" w:rsidRDefault="00DA5F93">
      <w:pPr>
        <w:spacing w:after="120"/>
        <w:jc w:val="both"/>
        <w:rPr>
          <w:szCs w:val="22"/>
        </w:rPr>
      </w:pPr>
    </w:p>
    <w:p w14:paraId="48414EEB" w14:textId="77777777" w:rsidR="00DA5F93" w:rsidRDefault="00CE2D01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14:paraId="48414EEC" w14:textId="77777777" w:rsidR="00DA5F93" w:rsidRDefault="00CE2D01">
      <w:pPr>
        <w:spacing w:after="120"/>
        <w:ind w:firstLine="426"/>
        <w:jc w:val="both"/>
        <w:rPr>
          <w:iCs/>
          <w:szCs w:val="22"/>
        </w:rPr>
      </w:pPr>
      <w:r>
        <w:rPr>
          <w:iCs/>
          <w:szCs w:val="22"/>
        </w:rPr>
        <w:t>L'étudiant sera capable :</w:t>
      </w:r>
    </w:p>
    <w:p w14:paraId="48414EED" w14:textId="77777777" w:rsidR="00DA5F93" w:rsidRDefault="00CE2D01">
      <w:pPr>
        <w:spacing w:after="120"/>
        <w:ind w:firstLine="426"/>
        <w:jc w:val="both"/>
        <w:rPr>
          <w:i/>
          <w:iCs/>
          <w:szCs w:val="22"/>
        </w:rPr>
      </w:pPr>
      <w:r>
        <w:rPr>
          <w:i/>
          <w:iCs/>
          <w:szCs w:val="22"/>
        </w:rPr>
        <w:t>face à des situations complexes en contactologie,</w:t>
      </w:r>
    </w:p>
    <w:p w14:paraId="48414EEE" w14:textId="77777777" w:rsidR="00DA5F93" w:rsidRDefault="00CE2D01">
      <w:pPr>
        <w:spacing w:after="120"/>
        <w:ind w:left="426"/>
        <w:jc w:val="both"/>
        <w:rPr>
          <w:i/>
          <w:szCs w:val="22"/>
        </w:rPr>
      </w:pPr>
      <w:r>
        <w:rPr>
          <w:i/>
          <w:iCs/>
          <w:szCs w:val="22"/>
        </w:rPr>
        <w:t>en appliquant les normes d’hygiène et de sécurité en contactologie,</w:t>
      </w:r>
    </w:p>
    <w:p w14:paraId="48414EEF" w14:textId="77777777" w:rsidR="00DA5F93" w:rsidRDefault="00CE2D01">
      <w:pPr>
        <w:spacing w:after="120"/>
        <w:ind w:firstLine="425"/>
        <w:jc w:val="both"/>
        <w:rPr>
          <w:i/>
          <w:iCs/>
          <w:szCs w:val="22"/>
        </w:rPr>
      </w:pPr>
      <w:r>
        <w:rPr>
          <w:i/>
          <w:iCs/>
          <w:szCs w:val="22"/>
        </w:rPr>
        <w:t>en disposant des documents et du matériel nécessaire,</w:t>
      </w:r>
    </w:p>
    <w:p w14:paraId="48414EF0" w14:textId="77777777" w:rsidR="00DA5F93" w:rsidRDefault="00CE2D01">
      <w:pPr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4.1. Contact</w:t>
      </w:r>
      <w:r>
        <w:rPr>
          <w:b/>
          <w:szCs w:val="22"/>
        </w:rPr>
        <w:t>ologie théorique : adaptations complexes</w:t>
      </w:r>
    </w:p>
    <w:p w14:paraId="48414EF1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d’analyser des dossiers d’adaptation :</w:t>
      </w:r>
    </w:p>
    <w:p w14:paraId="48414EF2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t>de décrire les attentes et les besoins de tout type de porteur potentiel (astigmate, presbyte …),</w:t>
      </w:r>
    </w:p>
    <w:p w14:paraId="48414EF3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t>de reconnaître et de caractériser une cornée irrégulière ou nécessitant une le</w:t>
      </w:r>
      <w:r>
        <w:rPr>
          <w:szCs w:val="22"/>
        </w:rPr>
        <w:t>ntille esthétique, un équipement spécifique, notamment destiné au sportif …,</w:t>
      </w:r>
    </w:p>
    <w:p w14:paraId="48414EF4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t>d’exposer les indications et les contre-indications au port de lentilles en fonction des problèmes visuels, de l’anamnèse, des données obtenues suite aux mesures et aux observatio</w:t>
      </w:r>
      <w:r>
        <w:rPr>
          <w:szCs w:val="22"/>
        </w:rPr>
        <w:t xml:space="preserve">ns préalables (biométrie, </w:t>
      </w:r>
      <w:proofErr w:type="spellStart"/>
      <w:r>
        <w:rPr>
          <w:szCs w:val="22"/>
        </w:rPr>
        <w:t>biomiscroscopie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kératométrie</w:t>
      </w:r>
      <w:proofErr w:type="spellEnd"/>
      <w:r>
        <w:rPr>
          <w:szCs w:val="22"/>
        </w:rPr>
        <w:t xml:space="preserve"> …),</w:t>
      </w:r>
    </w:p>
    <w:p w14:paraId="48414EF5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lastRenderedPageBreak/>
        <w:t xml:space="preserve">de justifier ses choix d’équipements de lentilles par rapport à la situation complexe donnée ; </w:t>
      </w:r>
    </w:p>
    <w:p w14:paraId="48414EF6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d’énoncer les mesures et les observations à effectuer lors de toute adaptation de lentilles complexes (astigmate, presbyte, cornée irrégulière, orthokératologie …) ;</w:t>
      </w:r>
    </w:p>
    <w:p w14:paraId="48414EF7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déterminer les paramètres de la première lentille d’essai et de planifier la progressio</w:t>
      </w:r>
      <w:r>
        <w:rPr>
          <w:szCs w:val="22"/>
        </w:rPr>
        <w:t>n de port et les contrôles pour tous les types de lentilles ;</w:t>
      </w:r>
    </w:p>
    <w:p w14:paraId="48414EF8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calculer le coût des lentilles et de leur entretien selon la proposition adoptée, en tenant compte de l'intervention des assurances et de la sécurité sociale ;</w:t>
      </w:r>
    </w:p>
    <w:p w14:paraId="48414EF9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planifier un suivi de cas en</w:t>
      </w:r>
      <w:r>
        <w:rPr>
          <w:szCs w:val="22"/>
        </w:rPr>
        <w:t xml:space="preserve"> fonction d’un type de lentille, du besoin du porteur et de tenir le dossier «adaptation » à jour ;</w:t>
      </w:r>
    </w:p>
    <w:p w14:paraId="48414EFA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d’évaluer et d’expliquer les risques de complications oculaires suite au port de lentilles, de proposer une prise en charge pour le suivi, de cerner ses pro</w:t>
      </w:r>
      <w:r>
        <w:rPr>
          <w:szCs w:val="22"/>
        </w:rPr>
        <w:t>pres limites et, le cas échéant, de référer à un spécialiste ;</w:t>
      </w:r>
    </w:p>
    <w:p w14:paraId="48414EFB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se constituer une banque d'informations y compris en langue étrangère et de se tenir informé de l'évolution en matière d’adaptation en lentilles.</w:t>
      </w:r>
    </w:p>
    <w:p w14:paraId="48414EFC" w14:textId="77777777" w:rsidR="00DA5F93" w:rsidRDefault="00CE2D01">
      <w:pPr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4.2. Contactologie : adaptations complexes :</w:t>
      </w:r>
      <w:r>
        <w:rPr>
          <w:b/>
          <w:szCs w:val="22"/>
        </w:rPr>
        <w:t xml:space="preserve"> travaux pratiques</w:t>
      </w:r>
    </w:p>
    <w:p w14:paraId="48414EFD" w14:textId="77777777" w:rsidR="00DA5F93" w:rsidRDefault="00CE2D01">
      <w:pPr>
        <w:spacing w:after="120"/>
        <w:ind w:left="851"/>
        <w:jc w:val="both"/>
        <w:rPr>
          <w:i/>
          <w:szCs w:val="22"/>
        </w:rPr>
      </w:pPr>
      <w:bookmarkStart w:id="2" w:name="_Hlk25583168"/>
      <w:r>
        <w:rPr>
          <w:i/>
          <w:szCs w:val="22"/>
        </w:rPr>
        <w:t>en disposant de l’équipement, des instruments et du matériel requis</w:t>
      </w:r>
      <w:bookmarkEnd w:id="2"/>
      <w:r>
        <w:rPr>
          <w:i/>
          <w:szCs w:val="22"/>
        </w:rPr>
        <w:t>,</w:t>
      </w:r>
    </w:p>
    <w:p w14:paraId="48414EFE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d’adopter une attitude d’écoute empathique et respectueuse à l’égard du porteur pour mieux cerner la complexité du cas ;</w:t>
      </w:r>
    </w:p>
    <w:p w14:paraId="48414EFF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d’élaborer un dossier d’adaptation complet, de </w:t>
      </w:r>
      <w:r>
        <w:rPr>
          <w:szCs w:val="22"/>
        </w:rPr>
        <w:t>le tenir à jour, de l’analyser et de rédiger un rapport destiné à un autre professionnel ;</w:t>
      </w:r>
    </w:p>
    <w:p w14:paraId="48414F00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d'effectuer les observations et les mesures préalables à l'adaptation en mobilisant les notions, les pratiques et les méthodologies et de réaliser la synthèse des ob</w:t>
      </w:r>
      <w:r>
        <w:rPr>
          <w:szCs w:val="22"/>
        </w:rPr>
        <w:t>servations à consigner sur la fiche d'adaptation ;</w:t>
      </w:r>
    </w:p>
    <w:p w14:paraId="48414F01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sur base de l'anamnèse, des observations, des prises de mesures et des méthodes d’adaptation propres à chaque type de lentilles :</w:t>
      </w:r>
    </w:p>
    <w:p w14:paraId="48414F02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t>de décider d’adapter ou non en lentilles de contact et de justifier sa déci</w:t>
      </w:r>
      <w:r>
        <w:rPr>
          <w:szCs w:val="22"/>
        </w:rPr>
        <w:t>sion auprès du porteur,</w:t>
      </w:r>
    </w:p>
    <w:p w14:paraId="48414F03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t>de choisir la première lentille d'essai parmi toutes les lentilles disponibles sur le marché,</w:t>
      </w:r>
    </w:p>
    <w:p w14:paraId="48414F04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t>de l'adapter dans le respect des règles d’hygiène et de la physiologie oculaire,</w:t>
      </w:r>
    </w:p>
    <w:p w14:paraId="48414F05" w14:textId="77777777" w:rsidR="00DA5F93" w:rsidRDefault="00CE2D01">
      <w:pPr>
        <w:numPr>
          <w:ilvl w:val="0"/>
          <w:numId w:val="17"/>
        </w:numPr>
        <w:tabs>
          <w:tab w:val="num" w:pos="1635"/>
          <w:tab w:val="num" w:pos="1985"/>
        </w:tabs>
        <w:spacing w:after="120"/>
        <w:ind w:left="1635"/>
        <w:jc w:val="both"/>
        <w:rPr>
          <w:szCs w:val="22"/>
        </w:rPr>
      </w:pPr>
      <w:r>
        <w:rPr>
          <w:szCs w:val="22"/>
        </w:rPr>
        <w:t>de prendre les dispositions requises pour l’ajustement év</w:t>
      </w:r>
      <w:r>
        <w:rPr>
          <w:szCs w:val="22"/>
        </w:rPr>
        <w:t>entuel ;</w:t>
      </w:r>
    </w:p>
    <w:p w14:paraId="48414F06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retirer la lentille et de mener des observations complémentaires de l’intégrité de l’œil ;</w:t>
      </w:r>
    </w:p>
    <w:p w14:paraId="48414F07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donner les informations et les instructions au porteur concernant la manipulation, l’entretien et le suivi de ses lentilles afin de lui assurer un por</w:t>
      </w:r>
      <w:r>
        <w:rPr>
          <w:szCs w:val="22"/>
        </w:rPr>
        <w:t>t en toute sécurité ;</w:t>
      </w:r>
    </w:p>
    <w:p w14:paraId="48414F08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d'effectuer une séance de contrôle type ;</w:t>
      </w:r>
    </w:p>
    <w:p w14:paraId="48414F09" w14:textId="77777777" w:rsidR="00DA5F93" w:rsidRDefault="00CE2D01">
      <w:pPr>
        <w:numPr>
          <w:ilvl w:val="0"/>
          <w:numId w:val="16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commander la(les) lentille(s), de la(les) réceptionner et de vérifier la conformité des paramètres.</w:t>
      </w:r>
    </w:p>
    <w:p w14:paraId="48414F0A" w14:textId="77777777" w:rsidR="00DA5F93" w:rsidRDefault="00CE2D01">
      <w:pPr>
        <w:spacing w:after="120"/>
        <w:ind w:firstLine="425"/>
        <w:jc w:val="both"/>
        <w:rPr>
          <w:b/>
        </w:rPr>
      </w:pPr>
      <w:r>
        <w:rPr>
          <w:b/>
        </w:rPr>
        <w:t>4.3. Séminaire de cas cliniques en contactologie : adaptations complexes</w:t>
      </w:r>
    </w:p>
    <w:p w14:paraId="48414F0B" w14:textId="77777777" w:rsidR="00DA5F93" w:rsidRDefault="00CE2D01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 xml:space="preserve">face à des </w:t>
      </w:r>
      <w:r>
        <w:rPr>
          <w:i/>
          <w:szCs w:val="22"/>
        </w:rPr>
        <w:t>données de dossiers d’adaptation de lentilles de contact complexes,</w:t>
      </w:r>
    </w:p>
    <w:p w14:paraId="48414F0C" w14:textId="77777777" w:rsidR="00DA5F93" w:rsidRDefault="00CE2D01">
      <w:pPr>
        <w:pStyle w:val="Paragraphedeliste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d’analyser les données reçues ;</w:t>
      </w:r>
    </w:p>
    <w:p w14:paraId="48414F0D" w14:textId="77777777" w:rsidR="00DA5F93" w:rsidRDefault="00CE2D01">
      <w:pPr>
        <w:pStyle w:val="Paragraphedeliste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de proposer un plan d’adaptation et de déterminer les paramètres de lentilles qui répondent aux demandes et besoins visuels ;</w:t>
      </w:r>
    </w:p>
    <w:p w14:paraId="48414F0E" w14:textId="77777777" w:rsidR="00DA5F93" w:rsidRDefault="00CE2D01">
      <w:pPr>
        <w:pStyle w:val="Paragraphedeliste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 choisir et d’expliquer un s</w:t>
      </w:r>
      <w:r>
        <w:rPr>
          <w:rFonts w:ascii="Times New Roman" w:hAnsi="Times New Roman"/>
          <w:bCs/>
        </w:rPr>
        <w:t>ystème d’entretien au porteur ;</w:t>
      </w:r>
    </w:p>
    <w:p w14:paraId="48414F0F" w14:textId="77777777" w:rsidR="00DA5F93" w:rsidRDefault="00CE2D01">
      <w:pPr>
        <w:pStyle w:val="Paragraphedeliste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d’énoncer les principes de manipulation et les règles d’hygiène au porteur.</w:t>
      </w:r>
    </w:p>
    <w:p w14:paraId="48414F10" w14:textId="77777777" w:rsidR="00DA5F93" w:rsidRDefault="00CE2D01">
      <w:pPr>
        <w:rPr>
          <w:rFonts w:eastAsia="Calibri"/>
          <w:bCs/>
          <w:szCs w:val="22"/>
          <w:lang w:eastAsia="en-US"/>
        </w:rPr>
      </w:pPr>
      <w:r>
        <w:rPr>
          <w:bCs/>
        </w:rPr>
        <w:br w:type="page"/>
      </w:r>
    </w:p>
    <w:p w14:paraId="48414F11" w14:textId="77777777" w:rsidR="00DA5F93" w:rsidRDefault="00CE2D01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48414F12" w14:textId="77777777" w:rsidR="00DA5F93" w:rsidRDefault="00CE2D01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Pour l’activité d’enseignement de « Contactologie : adaptations complexes : travaux pratiques », il es</w:t>
      </w:r>
      <w:r>
        <w:rPr>
          <w:szCs w:val="22"/>
        </w:rPr>
        <w:t>t recommandé de ne pas dépasser trois étudiants par poste de travail.</w:t>
      </w:r>
    </w:p>
    <w:p w14:paraId="48414F13" w14:textId="77777777" w:rsidR="00DA5F93" w:rsidRDefault="00CE2D01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Pour l’activité d’enseignement de « Séminaire de cas clinique en contactologie : adaptations complexes</w:t>
      </w:r>
      <w:r>
        <w:rPr>
          <w:color w:val="000000"/>
          <w:spacing w:val="1"/>
          <w:szCs w:val="22"/>
        </w:rPr>
        <w:t> »</w:t>
      </w:r>
      <w:r>
        <w:rPr>
          <w:szCs w:val="22"/>
        </w:rPr>
        <w:t>, il est recommandé de ne pas constituer des groupes qui dépassent vingt étudiants</w:t>
      </w:r>
      <w:r>
        <w:rPr>
          <w:szCs w:val="22"/>
        </w:rPr>
        <w:t>.</w:t>
      </w:r>
    </w:p>
    <w:p w14:paraId="48414F14" w14:textId="77777777" w:rsidR="00DA5F93" w:rsidRDefault="00DA5F93">
      <w:pPr>
        <w:spacing w:after="120"/>
        <w:ind w:left="426" w:hanging="1"/>
        <w:jc w:val="both"/>
        <w:rPr>
          <w:szCs w:val="22"/>
        </w:rPr>
      </w:pPr>
    </w:p>
    <w:p w14:paraId="48414F15" w14:textId="77777777" w:rsidR="00DA5F93" w:rsidRDefault="00CE2D01">
      <w:pPr>
        <w:spacing w:after="120"/>
        <w:ind w:left="426" w:hanging="1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48414F16" w14:textId="77777777" w:rsidR="00DA5F93" w:rsidRDefault="00CE2D01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48414F17" w14:textId="77777777" w:rsidR="00DA5F93" w:rsidRDefault="00CE2D01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48414F18" w14:textId="77777777" w:rsidR="00DA5F93" w:rsidRDefault="00DA5F93">
      <w:pPr>
        <w:spacing w:after="120"/>
        <w:ind w:left="426"/>
        <w:jc w:val="both"/>
        <w:rPr>
          <w:szCs w:val="22"/>
        </w:rPr>
      </w:pPr>
    </w:p>
    <w:p w14:paraId="48414F19" w14:textId="77777777" w:rsidR="00DA5F93" w:rsidRDefault="00CE2D01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</w:r>
      <w:r>
        <w:rPr>
          <w:b/>
          <w:szCs w:val="22"/>
        </w:rPr>
        <w:t>HORAIRE MINIMUM DE L’UNITE D’ENSEIGNEMENT</w:t>
      </w:r>
    </w:p>
    <w:p w14:paraId="48414F1A" w14:textId="77777777" w:rsidR="00DA5F93" w:rsidRDefault="00DA5F93">
      <w:pPr>
        <w:ind w:left="426"/>
        <w:rPr>
          <w:b/>
        </w:rPr>
      </w:pPr>
    </w:p>
    <w:tbl>
      <w:tblPr>
        <w:tblW w:w="0" w:type="auto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33"/>
        <w:gridCol w:w="1276"/>
        <w:gridCol w:w="1134"/>
        <w:gridCol w:w="1503"/>
      </w:tblGrid>
      <w:tr w:rsidR="00DA5F93" w14:paraId="48414F24" w14:textId="77777777">
        <w:tc>
          <w:tcPr>
            <w:tcW w:w="4733" w:type="dxa"/>
            <w:tcBorders>
              <w:top w:val="single" w:sz="12" w:space="0" w:color="auto"/>
              <w:left w:val="single" w:sz="12" w:space="0" w:color="auto"/>
            </w:tcBorders>
          </w:tcPr>
          <w:p w14:paraId="48414F1B" w14:textId="77777777" w:rsidR="00DA5F93" w:rsidRDefault="00DA5F93">
            <w:pPr>
              <w:ind w:left="71"/>
              <w:rPr>
                <w:szCs w:val="22"/>
              </w:rPr>
            </w:pPr>
          </w:p>
          <w:p w14:paraId="48414F1C" w14:textId="77777777" w:rsidR="00DA5F93" w:rsidRDefault="00CE2D01">
            <w:pPr>
              <w:pStyle w:val="Titre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48414F1D" w14:textId="77777777" w:rsidR="00DA5F93" w:rsidRDefault="00DA5F93">
            <w:pPr>
              <w:ind w:left="71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8414F1E" w14:textId="77777777" w:rsidR="00DA5F93" w:rsidRDefault="00DA5F93">
            <w:pPr>
              <w:jc w:val="center"/>
              <w:rPr>
                <w:b/>
                <w:szCs w:val="22"/>
              </w:rPr>
            </w:pPr>
          </w:p>
          <w:p w14:paraId="48414F1F" w14:textId="77777777" w:rsidR="00DA5F93" w:rsidRDefault="00CE2D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8414F20" w14:textId="77777777" w:rsidR="00DA5F93" w:rsidRDefault="00DA5F93">
            <w:pPr>
              <w:rPr>
                <w:b/>
                <w:szCs w:val="22"/>
              </w:rPr>
            </w:pPr>
          </w:p>
          <w:p w14:paraId="48414F21" w14:textId="77777777" w:rsidR="00DA5F93" w:rsidRDefault="00CE2D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503" w:type="dxa"/>
            <w:tcBorders>
              <w:top w:val="single" w:sz="12" w:space="0" w:color="auto"/>
              <w:right w:val="single" w:sz="12" w:space="0" w:color="auto"/>
            </w:tcBorders>
          </w:tcPr>
          <w:p w14:paraId="48414F22" w14:textId="77777777" w:rsidR="00DA5F93" w:rsidRDefault="00DA5F93">
            <w:pPr>
              <w:jc w:val="center"/>
              <w:rPr>
                <w:b/>
                <w:szCs w:val="22"/>
              </w:rPr>
            </w:pPr>
          </w:p>
          <w:p w14:paraId="48414F23" w14:textId="77777777" w:rsidR="00DA5F93" w:rsidRDefault="00CE2D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de périodes</w:t>
            </w:r>
          </w:p>
        </w:tc>
      </w:tr>
      <w:tr w:rsidR="00DA5F93" w14:paraId="48414F29" w14:textId="77777777">
        <w:tc>
          <w:tcPr>
            <w:tcW w:w="4733" w:type="dxa"/>
            <w:tcBorders>
              <w:left w:val="single" w:sz="12" w:space="0" w:color="auto"/>
              <w:bottom w:val="single" w:sz="4" w:space="0" w:color="auto"/>
            </w:tcBorders>
          </w:tcPr>
          <w:p w14:paraId="48414F25" w14:textId="77777777" w:rsidR="00DA5F93" w:rsidRDefault="00CE2D01">
            <w:pPr>
              <w:pStyle w:val="Notedebasdepage"/>
              <w:rPr>
                <w:szCs w:val="22"/>
              </w:rPr>
            </w:pPr>
            <w:r>
              <w:rPr>
                <w:szCs w:val="22"/>
              </w:rPr>
              <w:t>Contactologie théorique : adaptations complexes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414F26" w14:textId="77777777" w:rsidR="00DA5F93" w:rsidRDefault="00CE2D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414F27" w14:textId="77777777" w:rsidR="00DA5F93" w:rsidRDefault="00CE2D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503" w:type="dxa"/>
            <w:tcBorders>
              <w:bottom w:val="single" w:sz="4" w:space="0" w:color="auto"/>
              <w:right w:val="single" w:sz="12" w:space="0" w:color="auto"/>
            </w:tcBorders>
          </w:tcPr>
          <w:p w14:paraId="48414F28" w14:textId="77777777" w:rsidR="00DA5F93" w:rsidRDefault="00CE2D01">
            <w:pPr>
              <w:pStyle w:val="Notedebasdepage"/>
              <w:tabs>
                <w:tab w:val="right" w:pos="1063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</w:tr>
      <w:tr w:rsidR="00DA5F93" w14:paraId="48414F2E" w14:textId="77777777">
        <w:tc>
          <w:tcPr>
            <w:tcW w:w="4733" w:type="dxa"/>
            <w:tcBorders>
              <w:top w:val="single" w:sz="4" w:space="0" w:color="auto"/>
              <w:left w:val="single" w:sz="12" w:space="0" w:color="auto"/>
            </w:tcBorders>
          </w:tcPr>
          <w:p w14:paraId="48414F2A" w14:textId="77777777" w:rsidR="00DA5F93" w:rsidRDefault="00CE2D01">
            <w:pPr>
              <w:rPr>
                <w:szCs w:val="22"/>
              </w:rPr>
            </w:pPr>
            <w:r>
              <w:rPr>
                <w:szCs w:val="22"/>
              </w:rPr>
              <w:t>Contactologie : adaptations complexes : travaux pratiques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8414F2B" w14:textId="77777777" w:rsidR="00DA5F93" w:rsidRDefault="00CE2D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8414F2C" w14:textId="77777777" w:rsidR="00DA5F93" w:rsidRDefault="00CE2D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</w:t>
            </w:r>
          </w:p>
        </w:tc>
        <w:tc>
          <w:tcPr>
            <w:tcW w:w="1503" w:type="dxa"/>
            <w:tcBorders>
              <w:top w:val="single" w:sz="4" w:space="0" w:color="auto"/>
              <w:right w:val="single" w:sz="12" w:space="0" w:color="auto"/>
            </w:tcBorders>
          </w:tcPr>
          <w:p w14:paraId="48414F2D" w14:textId="77777777" w:rsidR="00DA5F93" w:rsidRDefault="00CE2D01">
            <w:pPr>
              <w:pStyle w:val="Texte"/>
              <w:tabs>
                <w:tab w:val="right" w:pos="1063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40</w:t>
            </w:r>
          </w:p>
        </w:tc>
      </w:tr>
      <w:tr w:rsidR="00DA5F93" w14:paraId="48414F33" w14:textId="77777777">
        <w:tc>
          <w:tcPr>
            <w:tcW w:w="4733" w:type="dxa"/>
            <w:tcBorders>
              <w:top w:val="single" w:sz="4" w:space="0" w:color="auto"/>
              <w:left w:val="single" w:sz="12" w:space="0" w:color="auto"/>
            </w:tcBorders>
          </w:tcPr>
          <w:p w14:paraId="48414F2F" w14:textId="77777777" w:rsidR="00DA5F93" w:rsidRDefault="00CE2D01">
            <w:pPr>
              <w:rPr>
                <w:szCs w:val="22"/>
              </w:rPr>
            </w:pPr>
            <w:r>
              <w:rPr>
                <w:szCs w:val="22"/>
              </w:rPr>
              <w:t>Séminaire de cas cliniques en contactologie : adaptations complexes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414F30" w14:textId="77777777" w:rsidR="00DA5F93" w:rsidRDefault="00CE2D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414F31" w14:textId="77777777" w:rsidR="00DA5F93" w:rsidRDefault="00CE2D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</w:p>
        </w:tc>
        <w:tc>
          <w:tcPr>
            <w:tcW w:w="1503" w:type="dxa"/>
            <w:tcBorders>
              <w:top w:val="single" w:sz="4" w:space="0" w:color="auto"/>
              <w:right w:val="single" w:sz="12" w:space="0" w:color="auto"/>
            </w:tcBorders>
          </w:tcPr>
          <w:p w14:paraId="48414F32" w14:textId="77777777" w:rsidR="00DA5F93" w:rsidRDefault="00CE2D01">
            <w:pPr>
              <w:pStyle w:val="Texte"/>
              <w:tabs>
                <w:tab w:val="right" w:pos="1063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16</w:t>
            </w:r>
          </w:p>
        </w:tc>
      </w:tr>
      <w:tr w:rsidR="00DA5F93" w14:paraId="48414F37" w14:textId="77777777">
        <w:trPr>
          <w:cantSplit/>
        </w:trPr>
        <w:tc>
          <w:tcPr>
            <w:tcW w:w="600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8414F34" w14:textId="77777777" w:rsidR="00DA5F93" w:rsidRDefault="00CE2D01">
            <w:pPr>
              <w:pStyle w:val="Titre9"/>
              <w:tabs>
                <w:tab w:val="left" w:pos="60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48414F35" w14:textId="77777777" w:rsidR="00DA5F93" w:rsidRDefault="00CE2D01">
            <w:pPr>
              <w:pStyle w:val="Titre9"/>
              <w:tabs>
                <w:tab w:val="left" w:pos="6024"/>
              </w:tabs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12" w:space="0" w:color="auto"/>
            </w:tcBorders>
          </w:tcPr>
          <w:p w14:paraId="48414F36" w14:textId="77777777" w:rsidR="00DA5F93" w:rsidRDefault="00CE2D01">
            <w:pPr>
              <w:pStyle w:val="Texte"/>
              <w:tabs>
                <w:tab w:val="right" w:pos="1063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24</w:t>
            </w:r>
          </w:p>
        </w:tc>
      </w:tr>
      <w:tr w:rsidR="00DA5F93" w14:paraId="48414F3A" w14:textId="77777777">
        <w:trPr>
          <w:cantSplit/>
        </w:trPr>
        <w:tc>
          <w:tcPr>
            <w:tcW w:w="7143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8414F38" w14:textId="77777777" w:rsidR="00DA5F93" w:rsidRDefault="00CE2D01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1503" w:type="dxa"/>
            <w:tcBorders>
              <w:top w:val="single" w:sz="12" w:space="0" w:color="auto"/>
              <w:right w:val="single" w:sz="12" w:space="0" w:color="auto"/>
            </w:tcBorders>
          </w:tcPr>
          <w:p w14:paraId="48414F39" w14:textId="77777777" w:rsidR="00DA5F93" w:rsidRDefault="00CE2D01">
            <w:pPr>
              <w:tabs>
                <w:tab w:val="right" w:pos="1063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120</w:t>
            </w:r>
          </w:p>
        </w:tc>
      </w:tr>
      <w:tr w:rsidR="00DA5F93" w14:paraId="48414F3D" w14:textId="77777777">
        <w:trPr>
          <w:cantSplit/>
        </w:trPr>
        <w:tc>
          <w:tcPr>
            <w:tcW w:w="7143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8414F3B" w14:textId="77777777" w:rsidR="00DA5F93" w:rsidRDefault="00CE2D01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12" w:space="0" w:color="auto"/>
            </w:tcBorders>
          </w:tcPr>
          <w:p w14:paraId="48414F3C" w14:textId="77777777" w:rsidR="00DA5F93" w:rsidRDefault="00CE2D01">
            <w:pPr>
              <w:tabs>
                <w:tab w:val="right" w:pos="1063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</w:tr>
    </w:tbl>
    <w:p w14:paraId="48414F3E" w14:textId="77777777" w:rsidR="00DA5F93" w:rsidRDefault="00DA5F93">
      <w:pPr>
        <w:tabs>
          <w:tab w:val="left" w:pos="3091"/>
        </w:tabs>
        <w:jc w:val="both"/>
      </w:pPr>
    </w:p>
    <w:sectPr w:rsidR="00DA5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BB5A" w14:textId="77777777" w:rsidR="00CE2D01" w:rsidRDefault="00CE2D01">
      <w:r>
        <w:separator/>
      </w:r>
    </w:p>
  </w:endnote>
  <w:endnote w:type="continuationSeparator" w:id="0">
    <w:p w14:paraId="40C7EEFC" w14:textId="77777777" w:rsidR="00CE2D01" w:rsidRDefault="00CE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F45" w14:textId="77777777" w:rsidR="00DA5F93" w:rsidRDefault="00DA5F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F46" w14:textId="77777777" w:rsidR="00DA5F93" w:rsidRDefault="00DA5F93">
    <w:pPr>
      <w:pStyle w:val="Pieddepage"/>
    </w:pPr>
  </w:p>
  <w:p w14:paraId="48414F47" w14:textId="77777777" w:rsidR="00DA5F93" w:rsidRDefault="00CE2D01">
    <w:pPr>
      <w:pStyle w:val="Pieddepage"/>
      <w:rPr>
        <w:color w:val="002060"/>
        <w:sz w:val="20"/>
      </w:rPr>
    </w:pPr>
    <w:r>
      <w:rPr>
        <w:color w:val="002060"/>
        <w:sz w:val="20"/>
      </w:rPr>
      <w:t>Contactologie : adaptations complexes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6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6</w:t>
    </w:r>
    <w:r>
      <w:rPr>
        <w:bCs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F49" w14:textId="77777777" w:rsidR="00DA5F93" w:rsidRDefault="00DA5F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E6C1" w14:textId="77777777" w:rsidR="00CE2D01" w:rsidRDefault="00CE2D01">
      <w:r>
        <w:separator/>
      </w:r>
    </w:p>
  </w:footnote>
  <w:footnote w:type="continuationSeparator" w:id="0">
    <w:p w14:paraId="6A7D3777" w14:textId="77777777" w:rsidR="00CE2D01" w:rsidRDefault="00CE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F43" w14:textId="77777777" w:rsidR="00DA5F93" w:rsidRDefault="00DA5F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F44" w14:textId="77777777" w:rsidR="00DA5F93" w:rsidRDefault="00DA5F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F48" w14:textId="77777777" w:rsidR="00DA5F93" w:rsidRDefault="00DA5F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59854B8"/>
    <w:multiLevelType w:val="singleLevel"/>
    <w:tmpl w:val="DB8AD97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2"/>
      </w:rPr>
    </w:lvl>
  </w:abstractNum>
  <w:abstractNum w:abstractNumId="3" w15:restartNumberingAfterBreak="0">
    <w:nsid w:val="0AF3453F"/>
    <w:multiLevelType w:val="singleLevel"/>
    <w:tmpl w:val="E3086FD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CCD5591"/>
    <w:multiLevelType w:val="hybridMultilevel"/>
    <w:tmpl w:val="2E362AE4"/>
    <w:lvl w:ilvl="0" w:tplc="FA868B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 w:tplc="A77AA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FCC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E6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63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407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44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45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1A7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6" w15:restartNumberingAfterBreak="0">
    <w:nsid w:val="1B2752C4"/>
    <w:multiLevelType w:val="singleLevel"/>
    <w:tmpl w:val="63729F4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7" w15:restartNumberingAfterBreak="0">
    <w:nsid w:val="205C1346"/>
    <w:multiLevelType w:val="hybridMultilevel"/>
    <w:tmpl w:val="1FA2CFCC"/>
    <w:lvl w:ilvl="0" w:tplc="92B80C04">
      <w:start w:val="1"/>
      <w:numFmt w:val="bullet"/>
      <w:lvlText w:val=""/>
      <w:lvlJc w:val="left"/>
      <w:pPr>
        <w:ind w:left="1494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0755D3"/>
    <w:multiLevelType w:val="hybridMultilevel"/>
    <w:tmpl w:val="90DE16A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77C57"/>
    <w:multiLevelType w:val="singleLevel"/>
    <w:tmpl w:val="DDDAB5BA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0"/>
      </w:rPr>
    </w:lvl>
  </w:abstractNum>
  <w:abstractNum w:abstractNumId="11" w15:restartNumberingAfterBreak="0">
    <w:nsid w:val="2E970CBE"/>
    <w:multiLevelType w:val="singleLevel"/>
    <w:tmpl w:val="9A649090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cs="Times New Roman" w:hint="default"/>
        <w:color w:val="auto"/>
        <w:sz w:val="14"/>
        <w:szCs w:val="14"/>
      </w:rPr>
    </w:lvl>
  </w:abstractNum>
  <w:abstractNum w:abstractNumId="12" w15:restartNumberingAfterBreak="0">
    <w:nsid w:val="31147BA5"/>
    <w:multiLevelType w:val="singleLevel"/>
    <w:tmpl w:val="9202F2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3AFB7A30"/>
    <w:multiLevelType w:val="hybridMultilevel"/>
    <w:tmpl w:val="C130F366"/>
    <w:lvl w:ilvl="0" w:tplc="92B80C04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483449C0"/>
    <w:multiLevelType w:val="hybridMultilevel"/>
    <w:tmpl w:val="2570C64A"/>
    <w:lvl w:ilvl="0" w:tplc="5FDE33F2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52960E38"/>
    <w:multiLevelType w:val="hybridMultilevel"/>
    <w:tmpl w:val="47481C1A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10587"/>
    <w:multiLevelType w:val="singleLevel"/>
    <w:tmpl w:val="38CC7812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cs="Times New Roman" w:hint="default"/>
        <w:color w:val="auto"/>
        <w:sz w:val="14"/>
        <w:szCs w:val="14"/>
      </w:rPr>
    </w:lvl>
  </w:abstractNum>
  <w:abstractNum w:abstractNumId="20" w15:restartNumberingAfterBreak="0">
    <w:nsid w:val="57287063"/>
    <w:multiLevelType w:val="singleLevel"/>
    <w:tmpl w:val="58424A02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21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2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F0767C8"/>
    <w:multiLevelType w:val="singleLevel"/>
    <w:tmpl w:val="92B80C04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72D7C1B"/>
    <w:multiLevelType w:val="singleLevel"/>
    <w:tmpl w:val="CED0944C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25" w15:restartNumberingAfterBreak="0">
    <w:nsid w:val="6CFB2FC1"/>
    <w:multiLevelType w:val="hybridMultilevel"/>
    <w:tmpl w:val="8640AD8C"/>
    <w:lvl w:ilvl="0" w:tplc="C9DEE6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D45FD"/>
    <w:multiLevelType w:val="singleLevel"/>
    <w:tmpl w:val="499EC4F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4"/>
      </w:rPr>
    </w:lvl>
  </w:abstractNum>
  <w:abstractNum w:abstractNumId="27" w15:restartNumberingAfterBreak="0">
    <w:nsid w:val="75464557"/>
    <w:multiLevelType w:val="singleLevel"/>
    <w:tmpl w:val="281033E2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4"/>
      </w:rPr>
    </w:lvl>
  </w:abstractNum>
  <w:abstractNum w:abstractNumId="28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30" w15:restartNumberingAfterBreak="0">
    <w:nsid w:val="7A8B6D84"/>
    <w:multiLevelType w:val="singleLevel"/>
    <w:tmpl w:val="1572251A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4"/>
      </w:rPr>
    </w:lvl>
  </w:abstractNum>
  <w:abstractNum w:abstractNumId="31" w15:restartNumberingAfterBreak="0">
    <w:nsid w:val="7B3C7D77"/>
    <w:multiLevelType w:val="singleLevel"/>
    <w:tmpl w:val="A2121D3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</w:abstractNum>
  <w:abstractNum w:abstractNumId="32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4"/>
  </w:num>
  <w:num w:numId="5">
    <w:abstractNumId w:val="22"/>
  </w:num>
  <w:num w:numId="6">
    <w:abstractNumId w:val="5"/>
  </w:num>
  <w:num w:numId="7">
    <w:abstractNumId w:val="32"/>
  </w:num>
  <w:num w:numId="8">
    <w:abstractNumId w:val="29"/>
  </w:num>
  <w:num w:numId="9">
    <w:abstractNumId w:val="8"/>
  </w:num>
  <w:num w:numId="10">
    <w:abstractNumId w:val="17"/>
  </w:num>
  <w:num w:numId="11">
    <w:abstractNumId w:val="15"/>
  </w:num>
  <w:num w:numId="12">
    <w:abstractNumId w:val="28"/>
  </w:num>
  <w:num w:numId="13">
    <w:abstractNumId w:val="30"/>
  </w:num>
  <w:num w:numId="14">
    <w:abstractNumId w:val="23"/>
  </w:num>
  <w:num w:numId="15">
    <w:abstractNumId w:val="12"/>
  </w:num>
  <w:num w:numId="16">
    <w:abstractNumId w:val="2"/>
  </w:num>
  <w:num w:numId="17">
    <w:abstractNumId w:val="31"/>
  </w:num>
  <w:num w:numId="18">
    <w:abstractNumId w:val="27"/>
  </w:num>
  <w:num w:numId="19">
    <w:abstractNumId w:val="10"/>
  </w:num>
  <w:num w:numId="20">
    <w:abstractNumId w:val="20"/>
  </w:num>
  <w:num w:numId="21">
    <w:abstractNumId w:val="24"/>
  </w:num>
  <w:num w:numId="22">
    <w:abstractNumId w:val="6"/>
  </w:num>
  <w:num w:numId="23">
    <w:abstractNumId w:val="3"/>
  </w:num>
  <w:num w:numId="24">
    <w:abstractNumId w:val="26"/>
  </w:num>
  <w:num w:numId="25">
    <w:abstractNumId w:val="19"/>
  </w:num>
  <w:num w:numId="26">
    <w:abstractNumId w:val="4"/>
  </w:num>
  <w:num w:numId="27">
    <w:abstractNumId w:val="23"/>
  </w:num>
  <w:num w:numId="28">
    <w:abstractNumId w:val="11"/>
  </w:num>
  <w:num w:numId="29">
    <w:abstractNumId w:val="18"/>
  </w:num>
  <w:num w:numId="30">
    <w:abstractNumId w:val="25"/>
  </w:num>
  <w:num w:numId="31">
    <w:abstractNumId w:val="7"/>
  </w:num>
  <w:num w:numId="32">
    <w:abstractNumId w:val="13"/>
  </w:num>
  <w:num w:numId="33">
    <w:abstractNumId w:val="9"/>
  </w:num>
  <w:num w:numId="34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93"/>
    <w:rsid w:val="00CE2D01"/>
    <w:rsid w:val="00DA5F93"/>
    <w:rsid w:val="00D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8414E8A"/>
  <w15:chartTrackingRefBased/>
  <w15:docId w15:val="{AA8EC810-6380-478E-B980-950ECC11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 w:hanging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709" w:hanging="283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Normalcentr">
    <w:name w:val="Block Text"/>
    <w:basedOn w:val="Normal"/>
    <w:pPr>
      <w:ind w:left="708" w:right="-567"/>
    </w:pPr>
  </w:style>
  <w:style w:type="paragraph" w:customStyle="1" w:styleId="Corpsdetexte21">
    <w:name w:val="Corps de texte 21"/>
    <w:basedOn w:val="Normal"/>
    <w:pPr>
      <w:tabs>
        <w:tab w:val="left" w:pos="142"/>
      </w:tabs>
      <w:ind w:left="135" w:hanging="135"/>
      <w:jc w:val="both"/>
    </w:pPr>
  </w:style>
  <w:style w:type="paragraph" w:customStyle="1" w:styleId="Retraitcorpsdetexte31">
    <w:name w:val="Retrait corps de texte 31"/>
    <w:basedOn w:val="Normal"/>
    <w:pPr>
      <w:tabs>
        <w:tab w:val="left" w:pos="993"/>
      </w:tabs>
      <w:ind w:left="993" w:hanging="284"/>
      <w:jc w:val="both"/>
    </w:pPr>
    <w:rPr>
      <w:sz w:val="24"/>
    </w:rPr>
  </w:style>
  <w:style w:type="paragraph" w:styleId="Corpsdetexte2">
    <w:name w:val="Body Text 2"/>
    <w:basedOn w:val="Normal"/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rPr>
      <w:i/>
      <w:sz w:val="24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styleId="Textedebulles">
    <w:name w:val="Balloon Text"/>
    <w:basedOn w:val="Normal"/>
    <w:link w:val="TextedebullesCar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NotedebasdepageCar">
    <w:name w:val="Note de bas de page Car"/>
    <w:link w:val="Notedebasdepage"/>
    <w:semiHidden/>
    <w:rPr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F453-08B1-46BA-95E5-6146EAB9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1434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contactologie - niveau 3</vt:lpstr>
    </vt:vector>
  </TitlesOfParts>
  <Company>EPS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contactologie - niveau 3</dc:title>
  <dc:subject>graduat opticien-optopmétriste</dc:subject>
  <dc:creator>Martine Gillon</dc:creator>
  <cp:keywords/>
  <cp:lastModifiedBy>CESOA CESOA</cp:lastModifiedBy>
  <cp:revision>51</cp:revision>
  <cp:lastPrinted>2001-01-18T11:22:00Z</cp:lastPrinted>
  <dcterms:created xsi:type="dcterms:W3CDTF">2023-12-01T09:29:00Z</dcterms:created>
  <dcterms:modified xsi:type="dcterms:W3CDTF">2024-02-20T10:38:00Z</dcterms:modified>
</cp:coreProperties>
</file>